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417" w:rsidRPr="00A46681" w:rsidRDefault="009F3DFA" w:rsidP="00273417">
      <w:pPr>
        <w:pStyle w:val="Heading1"/>
        <w:ind w:left="1620" w:hanging="1620"/>
        <w:jc w:val="center"/>
        <w:rPr>
          <w:lang w:val="id-ID"/>
        </w:rPr>
      </w:pPr>
      <w:r w:rsidRPr="00A46681">
        <w:rPr>
          <w:lang w:val="fi-FI"/>
        </w:rPr>
        <w:t>STANDAR 3</w:t>
      </w:r>
    </w:p>
    <w:p w:rsidR="00273417" w:rsidRDefault="00273417" w:rsidP="00273417">
      <w:pPr>
        <w:pStyle w:val="Heading1"/>
        <w:jc w:val="center"/>
        <w:rPr>
          <w:lang w:val="id-ID"/>
        </w:rPr>
      </w:pPr>
      <w:r w:rsidRPr="00A46681">
        <w:rPr>
          <w:lang w:val="fi-FI"/>
        </w:rPr>
        <w:t>MAHASISWA DAN LULUSAN</w:t>
      </w:r>
    </w:p>
    <w:p w:rsidR="00737197" w:rsidRDefault="00737197" w:rsidP="00737197">
      <w:pPr>
        <w:rPr>
          <w:lang w:val="id-ID"/>
        </w:rPr>
      </w:pPr>
    </w:p>
    <w:p w:rsidR="00737197" w:rsidRDefault="00737197" w:rsidP="00737197">
      <w:pPr>
        <w:rPr>
          <w:lang w:val="id-ID"/>
        </w:rPr>
      </w:pPr>
    </w:p>
    <w:p w:rsidR="00737197" w:rsidRPr="00737197" w:rsidRDefault="00737197" w:rsidP="00737197">
      <w:pPr>
        <w:rPr>
          <w:lang w:val="id-ID"/>
        </w:rPr>
      </w:pPr>
    </w:p>
    <w:p w:rsidR="00273417" w:rsidRPr="00A46681" w:rsidRDefault="00273417" w:rsidP="00273417">
      <w:pPr>
        <w:rPr>
          <w:lang w:val="fi-FI"/>
        </w:rPr>
      </w:pPr>
    </w:p>
    <w:p w:rsidR="00273417" w:rsidRPr="00E9360E" w:rsidRDefault="00273417" w:rsidP="00273417">
      <w:pPr>
        <w:rPr>
          <w:sz w:val="24"/>
          <w:szCs w:val="24"/>
          <w:lang w:val="fi-FI"/>
        </w:rPr>
      </w:pPr>
      <w:r w:rsidRPr="00E9360E">
        <w:rPr>
          <w:sz w:val="24"/>
          <w:szCs w:val="24"/>
          <w:lang w:val="fi-FI"/>
        </w:rPr>
        <w:t>3.1</w:t>
      </w:r>
      <w:r w:rsidRPr="00E9360E">
        <w:rPr>
          <w:sz w:val="24"/>
          <w:szCs w:val="24"/>
          <w:lang w:val="id-ID"/>
        </w:rPr>
        <w:t xml:space="preserve">. </w:t>
      </w:r>
      <w:r w:rsidRPr="00E9360E">
        <w:rPr>
          <w:sz w:val="24"/>
          <w:szCs w:val="24"/>
          <w:lang w:val="fi-FI"/>
        </w:rPr>
        <w:t>Mahasiswa</w:t>
      </w:r>
    </w:p>
    <w:p w:rsidR="00273417" w:rsidRPr="00E9360E" w:rsidRDefault="00273417" w:rsidP="00273417">
      <w:pPr>
        <w:rPr>
          <w:sz w:val="24"/>
          <w:szCs w:val="24"/>
          <w:lang w:val="fi-FI"/>
        </w:rPr>
      </w:pPr>
    </w:p>
    <w:p w:rsidR="00273417" w:rsidRPr="00E9360E" w:rsidRDefault="00273417" w:rsidP="00273417">
      <w:pPr>
        <w:ind w:left="993" w:hanging="567"/>
        <w:rPr>
          <w:sz w:val="24"/>
          <w:szCs w:val="24"/>
          <w:lang w:val="id-ID"/>
        </w:rPr>
      </w:pPr>
      <w:r w:rsidRPr="00E9360E">
        <w:rPr>
          <w:sz w:val="24"/>
          <w:szCs w:val="24"/>
          <w:lang w:val="fi-FI"/>
        </w:rPr>
        <w:t>3.1.1 Sistem Rekrutmen dan Seleksi Calon Mahasiswa Baru dan Efektivitasnya</w:t>
      </w:r>
    </w:p>
    <w:p w:rsidR="00273417" w:rsidRPr="00E9360E" w:rsidRDefault="00273417" w:rsidP="00273417">
      <w:pPr>
        <w:ind w:left="993"/>
        <w:rPr>
          <w:sz w:val="24"/>
          <w:szCs w:val="24"/>
          <w:lang w:val="id-ID"/>
        </w:rPr>
      </w:pPr>
      <w:r w:rsidRPr="00E9360E">
        <w:rPr>
          <w:rFonts w:cs="Arial"/>
          <w:sz w:val="24"/>
          <w:szCs w:val="24"/>
        </w:rPr>
        <w:t>Kebijakan sistem rekrutmen dan seleksi calon mahasiswa (mencakup mutu prestasi dan reputasi akademik serta bakat pada jenjang pendidikan sebelumnya, equitas wilayah, kemampuan ekonomi dan jender).</w:t>
      </w:r>
      <w:r w:rsidRPr="00E9360E">
        <w:rPr>
          <w:sz w:val="24"/>
          <w:szCs w:val="24"/>
          <w:lang w:val="id-ID"/>
        </w:rPr>
        <w:t xml:space="preserve"> </w:t>
      </w:r>
      <w:r w:rsidRPr="00E9360E">
        <w:rPr>
          <w:rFonts w:cs="Arial"/>
          <w:sz w:val="24"/>
          <w:szCs w:val="24"/>
        </w:rPr>
        <w:t xml:space="preserve">Efektivitas implementasi </w:t>
      </w:r>
      <w:r w:rsidRPr="00E9360E">
        <w:rPr>
          <w:rFonts w:cs="Arial"/>
          <w:sz w:val="24"/>
          <w:szCs w:val="24"/>
          <w:lang w:val="id-ID"/>
        </w:rPr>
        <w:t>sistem r</w:t>
      </w:r>
      <w:r w:rsidRPr="00E9360E">
        <w:rPr>
          <w:rFonts w:cs="Arial"/>
          <w:sz w:val="24"/>
          <w:szCs w:val="24"/>
        </w:rPr>
        <w:t xml:space="preserve">ekrutmen dan </w:t>
      </w:r>
      <w:r w:rsidRPr="00E9360E">
        <w:rPr>
          <w:rFonts w:cs="Arial"/>
          <w:sz w:val="24"/>
          <w:szCs w:val="24"/>
          <w:lang w:val="id-ID"/>
        </w:rPr>
        <w:t>s</w:t>
      </w:r>
      <w:r w:rsidRPr="00E9360E">
        <w:rPr>
          <w:rFonts w:cs="Arial"/>
          <w:sz w:val="24"/>
          <w:szCs w:val="24"/>
        </w:rPr>
        <w:t>eleksi calon mahasiswa untuk menghasilkan calon mahasiswa yang bermutu diukur dari jumlah peminat, proporsi pendaftar terhadap daya tampung dan proporsi yang diterima dan yang registrasi.</w:t>
      </w:r>
    </w:p>
    <w:p w:rsidR="00737197" w:rsidRPr="00E9360E" w:rsidRDefault="00737197" w:rsidP="00273417">
      <w:pPr>
        <w:ind w:left="993"/>
        <w:rPr>
          <w:sz w:val="24"/>
          <w:szCs w:val="24"/>
          <w:lang w:val="id-ID"/>
        </w:rPr>
      </w:pPr>
    </w:p>
    <w:p w:rsidR="00273417" w:rsidRPr="00A46681" w:rsidRDefault="00273417" w:rsidP="00273417">
      <w:pPr>
        <w:ind w:left="993"/>
        <w:rPr>
          <w:lang w:val="fi-FI"/>
        </w:rPr>
      </w:pPr>
      <w:r w:rsidRPr="00E9360E">
        <w:rPr>
          <w:sz w:val="24"/>
          <w:szCs w:val="24"/>
          <w:lang w:val="fi-FI"/>
        </w:rPr>
        <w:t>Jelaskan sistem rekrutmen dan seleksi calon mahasiswa baru yang diterapkan pada Fakultas/Sekolah Tinggi ini, serta efektivitasnya.</w:t>
      </w:r>
    </w:p>
    <w:p w:rsidR="00273417" w:rsidRPr="00A46681" w:rsidRDefault="00273417" w:rsidP="00273417">
      <w:pPr>
        <w:ind w:left="630" w:hanging="12"/>
        <w:rPr>
          <w:lang w:val="fi-F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34"/>
      </w:tblGrid>
      <w:tr w:rsidR="00A46681" w:rsidRPr="00517E4A" w:rsidTr="00CD02DF">
        <w:trPr>
          <w:trHeight w:val="699"/>
        </w:trPr>
        <w:tc>
          <w:tcPr>
            <w:tcW w:w="9175" w:type="dxa"/>
            <w:tcBorders>
              <w:top w:val="single" w:sz="4" w:space="0" w:color="auto"/>
              <w:left w:val="single" w:sz="4" w:space="0" w:color="auto"/>
              <w:bottom w:val="single" w:sz="4" w:space="0" w:color="auto"/>
              <w:right w:val="single" w:sz="4" w:space="0" w:color="auto"/>
            </w:tcBorders>
          </w:tcPr>
          <w:p w:rsidR="00737197" w:rsidRPr="00517E4A" w:rsidRDefault="00273417" w:rsidP="00737197">
            <w:pPr>
              <w:spacing w:before="100" w:beforeAutospacing="1" w:after="100" w:afterAutospacing="1"/>
              <w:ind w:left="360"/>
              <w:rPr>
                <w:rFonts w:cs="Arial"/>
                <w:sz w:val="24"/>
                <w:szCs w:val="24"/>
                <w:lang w:val="id-ID" w:eastAsia="id-ID"/>
              </w:rPr>
            </w:pPr>
            <w:r w:rsidRPr="00517E4A">
              <w:rPr>
                <w:rFonts w:cs="Arial"/>
                <w:sz w:val="24"/>
                <w:szCs w:val="24"/>
                <w:lang w:val="sv-SE"/>
              </w:rPr>
              <w:tab/>
            </w:r>
            <w:r w:rsidR="001D3D2B" w:rsidRPr="00517E4A">
              <w:rPr>
                <w:rFonts w:cs="Arial"/>
                <w:sz w:val="24"/>
                <w:szCs w:val="24"/>
                <w:lang w:val="id-ID"/>
              </w:rPr>
              <w:t>S</w:t>
            </w:r>
            <w:r w:rsidR="00C53D5D" w:rsidRPr="00517E4A">
              <w:rPr>
                <w:rFonts w:cs="Arial"/>
                <w:sz w:val="24"/>
                <w:szCs w:val="24"/>
                <w:lang w:val="fi-FI"/>
              </w:rPr>
              <w:t xml:space="preserve">istem rekrutmen dan seleksi calon mahasiswa </w:t>
            </w:r>
            <w:r w:rsidR="00C53D5D" w:rsidRPr="00517E4A">
              <w:rPr>
                <w:rFonts w:cs="Arial"/>
                <w:sz w:val="24"/>
                <w:szCs w:val="24"/>
                <w:lang w:val="id-ID"/>
              </w:rPr>
              <w:t>Fisipol</w:t>
            </w:r>
            <w:r w:rsidR="00C53D5D" w:rsidRPr="00517E4A">
              <w:rPr>
                <w:rFonts w:cs="Arial"/>
                <w:sz w:val="24"/>
                <w:szCs w:val="24"/>
                <w:lang w:val="fi-FI"/>
              </w:rPr>
              <w:t xml:space="preserve"> mengikuti </w:t>
            </w:r>
            <w:r w:rsidR="001D3D2B" w:rsidRPr="00517E4A">
              <w:rPr>
                <w:rFonts w:cs="Arial"/>
                <w:sz w:val="24"/>
                <w:szCs w:val="24"/>
                <w:lang w:val="id-ID" w:eastAsia="id-ID"/>
              </w:rPr>
              <w:t xml:space="preserve">Penyelenggaraan penerimaan mahasiswa baru dilingkungan Universitas Jambi berpedoman kepada Peraturan Menteri </w:t>
            </w:r>
            <w:r w:rsidR="008C607C">
              <w:rPr>
                <w:rFonts w:cs="Arial"/>
                <w:sz w:val="24"/>
                <w:szCs w:val="24"/>
                <w:lang w:eastAsia="id-ID"/>
              </w:rPr>
              <w:t>Riset, Teknologi dan Pendidikan Tinggi</w:t>
            </w:r>
            <w:r w:rsidR="001D3D2B" w:rsidRPr="00517E4A">
              <w:rPr>
                <w:rFonts w:cs="Arial"/>
                <w:sz w:val="24"/>
                <w:szCs w:val="24"/>
                <w:lang w:val="id-ID" w:eastAsia="id-ID"/>
              </w:rPr>
              <w:t xml:space="preserve"> </w:t>
            </w:r>
            <w:r w:rsidR="008C607C">
              <w:rPr>
                <w:rFonts w:cs="Arial"/>
                <w:sz w:val="24"/>
                <w:szCs w:val="24"/>
                <w:lang w:eastAsia="id-ID"/>
              </w:rPr>
              <w:t xml:space="preserve">Nomor 126 Tahun 2016 </w:t>
            </w:r>
            <w:r w:rsidR="001D3D2B" w:rsidRPr="00517E4A">
              <w:rPr>
                <w:rFonts w:cs="Arial"/>
                <w:sz w:val="24"/>
                <w:szCs w:val="24"/>
                <w:lang w:val="id-ID" w:eastAsia="id-ID"/>
              </w:rPr>
              <w:t xml:space="preserve">tentang </w:t>
            </w:r>
            <w:r w:rsidR="008C607C">
              <w:rPr>
                <w:rFonts w:cs="Arial"/>
                <w:sz w:val="24"/>
                <w:szCs w:val="24"/>
                <w:lang w:eastAsia="id-ID"/>
              </w:rPr>
              <w:t>Penerimaan Mahasiswa Baru Program Sarjana Pada Perguruan Tinggi Negeri</w:t>
            </w:r>
            <w:r w:rsidR="001D3D2B" w:rsidRPr="00517E4A">
              <w:rPr>
                <w:rFonts w:cs="Arial"/>
                <w:sz w:val="24"/>
                <w:szCs w:val="24"/>
                <w:lang w:val="id-ID" w:eastAsia="id-ID"/>
              </w:rPr>
              <w:t xml:space="preserve">. Ketentuan tersebut menetapkan bahwa pola penerimaan mahasiswa baru dilakukan dengan jalur nasional dan jalur mandiri. Jumlah mahasiswa yang akan diterima melalui jalur nasional melalui  Seleksi Nasional </w:t>
            </w:r>
            <w:r w:rsidR="001D3D2B" w:rsidRPr="00517E4A">
              <w:rPr>
                <w:rFonts w:cs="Arial"/>
                <w:sz w:val="24"/>
                <w:szCs w:val="24"/>
                <w:lang w:val="sv-SE" w:eastAsia="id-ID"/>
              </w:rPr>
              <w:t xml:space="preserve">Mahasiswa baru Perguruan Tinggi Negeri </w:t>
            </w:r>
            <w:r w:rsidR="001D3D2B" w:rsidRPr="00517E4A">
              <w:rPr>
                <w:rFonts w:cs="Arial"/>
                <w:sz w:val="24"/>
                <w:szCs w:val="24"/>
                <w:lang w:val="id-ID" w:eastAsia="id-ID"/>
              </w:rPr>
              <w:t xml:space="preserve">paling kurang 70% dan melalui jalur mandiri maksimal 30%. </w:t>
            </w:r>
          </w:p>
          <w:p w:rsidR="00737197" w:rsidRPr="00517E4A" w:rsidRDefault="001D3D2B" w:rsidP="00737197">
            <w:pPr>
              <w:spacing w:before="100" w:beforeAutospacing="1" w:after="100" w:afterAutospacing="1"/>
              <w:ind w:left="360"/>
              <w:rPr>
                <w:rFonts w:cs="Arial"/>
                <w:sz w:val="24"/>
                <w:szCs w:val="24"/>
                <w:lang w:val="id-ID" w:eastAsia="id-ID"/>
              </w:rPr>
            </w:pPr>
            <w:r w:rsidRPr="00517E4A">
              <w:rPr>
                <w:rFonts w:cs="Arial"/>
                <w:sz w:val="24"/>
                <w:szCs w:val="24"/>
                <w:lang w:val="sv-SE" w:eastAsia="id-ID"/>
              </w:rPr>
              <w:t xml:space="preserve">Secara nasional proses penerimaan mahasiswa baru diselenggarakan </w:t>
            </w:r>
            <w:r w:rsidRPr="00517E4A">
              <w:rPr>
                <w:rFonts w:cs="Arial"/>
                <w:sz w:val="24"/>
                <w:szCs w:val="24"/>
                <w:lang w:val="id-ID" w:eastAsia="id-ID"/>
              </w:rPr>
              <w:t>melalui kegiatan S</w:t>
            </w:r>
            <w:r w:rsidRPr="00517E4A">
              <w:rPr>
                <w:rFonts w:cs="Arial"/>
                <w:sz w:val="24"/>
                <w:szCs w:val="24"/>
                <w:lang w:val="sv-SE" w:eastAsia="id-ID"/>
              </w:rPr>
              <w:t>eleksi Nasional Ma</w:t>
            </w:r>
            <w:r w:rsidRPr="00517E4A">
              <w:rPr>
                <w:rFonts w:cs="Arial"/>
                <w:sz w:val="24"/>
                <w:szCs w:val="24"/>
                <w:lang w:val="id-ID" w:eastAsia="id-ID"/>
              </w:rPr>
              <w:t>suk</w:t>
            </w:r>
            <w:r w:rsidRPr="00517E4A">
              <w:rPr>
                <w:rFonts w:cs="Arial"/>
                <w:sz w:val="24"/>
                <w:szCs w:val="24"/>
                <w:lang w:val="sv-SE" w:eastAsia="id-ID"/>
              </w:rPr>
              <w:t xml:space="preserve"> Perguruan Tinggi Negeri (SNMPTN)</w:t>
            </w:r>
            <w:r w:rsidRPr="00517E4A">
              <w:rPr>
                <w:rFonts w:cs="Arial"/>
                <w:sz w:val="24"/>
                <w:szCs w:val="24"/>
                <w:lang w:val="id-ID" w:eastAsia="id-ID"/>
              </w:rPr>
              <w:t xml:space="preserve"> yang terdiri dari jalur undangan, bidik misi dan ujian tertulis, SBMPTN dan UMB. </w:t>
            </w:r>
            <w:r w:rsidRPr="00517E4A">
              <w:rPr>
                <w:rFonts w:cs="Arial"/>
                <w:sz w:val="24"/>
                <w:szCs w:val="24"/>
                <w:lang w:val="sv-SE" w:eastAsia="id-ID"/>
              </w:rPr>
              <w:t xml:space="preserve">Sedangkan penerimaan mahasiswa baru secara </w:t>
            </w:r>
            <w:r w:rsidRPr="00517E4A">
              <w:rPr>
                <w:rFonts w:cs="Arial"/>
                <w:sz w:val="24"/>
                <w:szCs w:val="24"/>
                <w:lang w:val="id-ID" w:eastAsia="id-ID"/>
              </w:rPr>
              <w:t xml:space="preserve">mandiri sebagai </w:t>
            </w:r>
            <w:r w:rsidRPr="00517E4A">
              <w:rPr>
                <w:rFonts w:cs="Arial"/>
                <w:sz w:val="24"/>
                <w:szCs w:val="24"/>
                <w:lang w:val="sv-SE" w:eastAsia="id-ID"/>
              </w:rPr>
              <w:t xml:space="preserve"> proses penerimaan </w:t>
            </w:r>
            <w:r w:rsidRPr="00517E4A">
              <w:rPr>
                <w:rFonts w:cs="Arial"/>
                <w:sz w:val="24"/>
                <w:szCs w:val="24"/>
                <w:lang w:val="id-ID" w:eastAsia="id-ID"/>
              </w:rPr>
              <w:t xml:space="preserve">mahasiswa baru pada </w:t>
            </w:r>
            <w:r w:rsidRPr="00517E4A">
              <w:rPr>
                <w:rFonts w:cs="Arial"/>
                <w:sz w:val="24"/>
                <w:szCs w:val="24"/>
                <w:lang w:val="sv-SE" w:eastAsia="id-ID"/>
              </w:rPr>
              <w:t xml:space="preserve"> masing-masing Perguruan Tinggi Negeri (PTN) yang disesuaikan dengan kondisi setempat atau kebijaksanaan pimpinan Perguruan Tinggi Negeri (PTN). Di Universitas Jambi penerimaan mahasiswa baru secara </w:t>
            </w:r>
            <w:r w:rsidRPr="00517E4A">
              <w:rPr>
                <w:rFonts w:cs="Arial"/>
                <w:sz w:val="24"/>
                <w:szCs w:val="24"/>
                <w:lang w:val="id-ID" w:eastAsia="id-ID"/>
              </w:rPr>
              <w:t>mandiri</w:t>
            </w:r>
            <w:r w:rsidRPr="00517E4A">
              <w:rPr>
                <w:rFonts w:cs="Arial"/>
                <w:sz w:val="24"/>
                <w:szCs w:val="24"/>
                <w:lang w:val="sv-SE" w:eastAsia="id-ID"/>
              </w:rPr>
              <w:t xml:space="preserve"> dilakukan melalui jalur </w:t>
            </w:r>
            <w:r w:rsidRPr="00517E4A">
              <w:rPr>
                <w:rFonts w:cs="Arial"/>
                <w:sz w:val="24"/>
                <w:szCs w:val="24"/>
                <w:lang w:val="id-ID" w:eastAsia="id-ID"/>
              </w:rPr>
              <w:t>Seleksi Lokal Masu</w:t>
            </w:r>
            <w:r w:rsidR="00737197" w:rsidRPr="00517E4A">
              <w:rPr>
                <w:rFonts w:cs="Arial"/>
                <w:sz w:val="24"/>
                <w:szCs w:val="24"/>
                <w:lang w:val="id-ID" w:eastAsia="id-ID"/>
              </w:rPr>
              <w:t>k Universitas Jambi (SLM-UNJA).</w:t>
            </w:r>
          </w:p>
          <w:p w:rsidR="00C53D5D" w:rsidRPr="00517E4A" w:rsidRDefault="00C53D5D" w:rsidP="00E9360E">
            <w:pPr>
              <w:spacing w:before="100" w:beforeAutospacing="1" w:after="100" w:afterAutospacing="1"/>
              <w:ind w:left="360"/>
              <w:rPr>
                <w:rFonts w:cs="Arial"/>
                <w:sz w:val="24"/>
                <w:szCs w:val="24"/>
                <w:lang w:val="id-ID" w:eastAsia="id-ID"/>
              </w:rPr>
            </w:pPr>
            <w:r w:rsidRPr="00517E4A">
              <w:rPr>
                <w:rFonts w:cs="Arial"/>
                <w:sz w:val="24"/>
                <w:szCs w:val="24"/>
                <w:lang w:val="fi-FI"/>
              </w:rPr>
              <w:t xml:space="preserve">tatacara rekrutmen dan seleksi calon mahasiswa yang diselenggarakan oleh Direktorat Jenderal Pendidikan Tinggi (Ditjen Dikti) dan </w:t>
            </w:r>
            <w:r w:rsidRPr="00517E4A">
              <w:rPr>
                <w:rFonts w:cs="Arial"/>
                <w:sz w:val="24"/>
                <w:szCs w:val="24"/>
                <w:lang w:val="id-ID"/>
              </w:rPr>
              <w:t>Universitas Jambi</w:t>
            </w:r>
            <w:r w:rsidRPr="00517E4A">
              <w:rPr>
                <w:rFonts w:cs="Arial"/>
                <w:sz w:val="24"/>
                <w:szCs w:val="24"/>
                <w:lang w:val="fi-FI"/>
              </w:rPr>
              <w:t xml:space="preserve"> secara </w:t>
            </w:r>
            <w:r w:rsidRPr="00517E4A">
              <w:rPr>
                <w:rFonts w:cs="Arial"/>
                <w:i/>
                <w:iCs/>
                <w:sz w:val="24"/>
                <w:szCs w:val="24"/>
                <w:lang w:val="fi-FI"/>
              </w:rPr>
              <w:t>daring</w:t>
            </w:r>
            <w:r w:rsidRPr="00517E4A">
              <w:rPr>
                <w:rFonts w:cs="Arial"/>
                <w:sz w:val="24"/>
                <w:szCs w:val="24"/>
                <w:lang w:val="fi-FI"/>
              </w:rPr>
              <w:t xml:space="preserve">. </w:t>
            </w:r>
            <w:r w:rsidRPr="00517E4A">
              <w:rPr>
                <w:rFonts w:cs="Arial"/>
                <w:sz w:val="24"/>
                <w:szCs w:val="24"/>
                <w:lang w:val="id-ID"/>
              </w:rPr>
              <w:t xml:space="preserve">Informasi lengkap tentang sistem rekrutmen dan seleksi calon mahasiswa dapat diakses melalui laman </w:t>
            </w:r>
            <w:hyperlink r:id="rId5" w:history="1">
              <w:r w:rsidRPr="00517E4A">
                <w:rPr>
                  <w:rStyle w:val="Hyperlink"/>
                  <w:rFonts w:cs="Arial"/>
                  <w:color w:val="auto"/>
                  <w:sz w:val="24"/>
                  <w:szCs w:val="24"/>
                </w:rPr>
                <w:t xml:space="preserve"> </w:t>
              </w:r>
              <w:r w:rsidRPr="00517E4A">
                <w:rPr>
                  <w:rStyle w:val="Hyperlink"/>
                  <w:rFonts w:cs="Arial"/>
                  <w:color w:val="auto"/>
                  <w:sz w:val="24"/>
                  <w:szCs w:val="24"/>
                  <w:lang w:val="id-ID"/>
                </w:rPr>
                <w:t>http://pmb.unja.ac.id/</w:t>
              </w:r>
            </w:hyperlink>
            <w:r w:rsidRPr="00517E4A">
              <w:rPr>
                <w:rFonts w:cs="Arial"/>
                <w:sz w:val="24"/>
                <w:szCs w:val="24"/>
                <w:lang w:val="id-ID"/>
              </w:rPr>
              <w:t xml:space="preserve">. </w:t>
            </w:r>
            <w:r w:rsidRPr="00517E4A">
              <w:rPr>
                <w:rFonts w:cs="Arial"/>
                <w:sz w:val="24"/>
                <w:szCs w:val="24"/>
                <w:lang w:val="fi-FI"/>
              </w:rPr>
              <w:t>Sistem yang dimaksud terdiri atas beberapa jalur, yaitu</w:t>
            </w:r>
            <w:r w:rsidRPr="00517E4A">
              <w:rPr>
                <w:rFonts w:cs="Arial"/>
                <w:sz w:val="24"/>
                <w:szCs w:val="24"/>
                <w:lang w:val="id-ID"/>
              </w:rPr>
              <w:t>:</w:t>
            </w:r>
          </w:p>
          <w:p w:rsidR="00C53D5D" w:rsidRPr="00517E4A" w:rsidRDefault="001D3D2B" w:rsidP="00C53D5D">
            <w:pPr>
              <w:ind w:left="295" w:hanging="295"/>
              <w:contextualSpacing/>
              <w:jc w:val="left"/>
              <w:rPr>
                <w:rFonts w:cs="Arial"/>
                <w:sz w:val="24"/>
                <w:szCs w:val="24"/>
                <w:lang w:val="id-ID" w:eastAsia="id-ID"/>
              </w:rPr>
            </w:pPr>
            <w:r w:rsidRPr="00517E4A">
              <w:rPr>
                <w:rFonts w:cs="Arial"/>
                <w:b/>
                <w:sz w:val="24"/>
                <w:szCs w:val="24"/>
                <w:lang w:val="id-ID" w:eastAsia="id-ID"/>
              </w:rPr>
              <w:t xml:space="preserve">1. </w:t>
            </w:r>
            <w:r w:rsidR="00C53D5D" w:rsidRPr="00517E4A">
              <w:rPr>
                <w:rFonts w:cs="Arial"/>
                <w:b/>
                <w:sz w:val="24"/>
                <w:szCs w:val="24"/>
                <w:lang w:val="id-ID" w:eastAsia="id-ID"/>
              </w:rPr>
              <w:t>Jalur Undangan/Seleksi Raport </w:t>
            </w:r>
          </w:p>
          <w:p w:rsidR="00C53D5D" w:rsidRPr="00517E4A" w:rsidRDefault="00C53D5D" w:rsidP="00C53D5D">
            <w:pPr>
              <w:ind w:left="284"/>
              <w:rPr>
                <w:rFonts w:cs="Arial"/>
                <w:sz w:val="24"/>
                <w:szCs w:val="24"/>
                <w:lang w:val="id-ID" w:eastAsia="id-ID"/>
              </w:rPr>
            </w:pPr>
            <w:r w:rsidRPr="00517E4A">
              <w:rPr>
                <w:rFonts w:cs="Arial"/>
                <w:b/>
                <w:sz w:val="24"/>
                <w:szCs w:val="24"/>
                <w:lang w:val="id-ID" w:eastAsia="id-ID"/>
              </w:rPr>
              <w:t>Jalur SNMPTN</w:t>
            </w:r>
            <w:r w:rsidRPr="00517E4A">
              <w:rPr>
                <w:rFonts w:cs="Arial"/>
                <w:sz w:val="24"/>
                <w:szCs w:val="24"/>
                <w:lang w:val="id-ID" w:eastAsia="id-ID"/>
              </w:rPr>
              <w:t xml:space="preserve"> (Seleksi Nasional Masuk Perguruan Tinggi Negeri).</w:t>
            </w:r>
          </w:p>
          <w:p w:rsidR="00C53D5D" w:rsidRPr="00517E4A" w:rsidRDefault="00C53D5D" w:rsidP="00C53D5D">
            <w:pPr>
              <w:ind w:left="284"/>
              <w:rPr>
                <w:rFonts w:cs="Arial"/>
                <w:sz w:val="24"/>
                <w:szCs w:val="24"/>
                <w:lang w:val="id-ID" w:eastAsia="id-ID"/>
              </w:rPr>
            </w:pPr>
            <w:r w:rsidRPr="00517E4A">
              <w:rPr>
                <w:rFonts w:cs="Arial"/>
                <w:sz w:val="24"/>
                <w:szCs w:val="24"/>
                <w:lang w:val="id-ID" w:eastAsia="id-ID"/>
              </w:rPr>
              <w:t xml:space="preserve">Penerimaan berdasarkan Prestasi Akademis (nilai raport) yang dilakukan secara Nasional. Seleksi tidak berupa ujian tulis, melainkan berupa seleksi nilai raport. </w:t>
            </w:r>
            <w:r w:rsidRPr="00517E4A">
              <w:rPr>
                <w:rFonts w:cs="Arial"/>
                <w:sz w:val="24"/>
                <w:szCs w:val="24"/>
                <w:lang w:val="id-ID" w:eastAsia="id-ID"/>
              </w:rPr>
              <w:lastRenderedPageBreak/>
              <w:t>Program ini diperuntukkan siswa/i lulusan SMA/SMK/MA/Sederajat, Siswa yang dapat diajukan untuk mengikuti program ini adalah peserta UN  tahun berjalan yang berasal dari sekolah-sekolah yang telah memiliki NPSN dan mengikuti ketentuan yang ditetapkan Panitia pelaksana SNMPTN. Tidak ada biaya pendaftaran untuk mengikuti program ini.</w:t>
            </w:r>
          </w:p>
          <w:p w:rsidR="00C53D5D" w:rsidRPr="00517E4A" w:rsidRDefault="00C53D5D" w:rsidP="00C53D5D">
            <w:pPr>
              <w:spacing w:before="100" w:beforeAutospacing="1"/>
              <w:rPr>
                <w:rFonts w:cs="Arial"/>
                <w:sz w:val="24"/>
                <w:szCs w:val="24"/>
              </w:rPr>
            </w:pPr>
            <w:r w:rsidRPr="00517E4A">
              <w:rPr>
                <w:rFonts w:cs="Arial"/>
                <w:b/>
                <w:sz w:val="24"/>
                <w:szCs w:val="24"/>
              </w:rPr>
              <w:t>2. Jalur Ujian Tulis </w:t>
            </w:r>
          </w:p>
          <w:p w:rsidR="00C53D5D" w:rsidRPr="00517E4A" w:rsidRDefault="00C53D5D" w:rsidP="00C53D5D">
            <w:pPr>
              <w:pStyle w:val="ListParagraph"/>
              <w:spacing w:before="0" w:beforeAutospacing="0" w:after="0" w:afterAutospacing="0"/>
              <w:ind w:left="567" w:hanging="360"/>
              <w:contextualSpacing/>
              <w:rPr>
                <w:rFonts w:ascii="Arial" w:hAnsi="Arial" w:cs="Arial"/>
              </w:rPr>
            </w:pPr>
            <w:r w:rsidRPr="00517E4A">
              <w:rPr>
                <w:rFonts w:ascii="Arial" w:eastAsia="Arial Narrow" w:hAnsi="Arial" w:cs="Arial"/>
                <w:b/>
              </w:rPr>
              <w:t>a.</w:t>
            </w:r>
            <w:r w:rsidR="001D3D2B" w:rsidRPr="00517E4A">
              <w:rPr>
                <w:rFonts w:ascii="Arial" w:eastAsia="Arial Narrow" w:hAnsi="Arial" w:cs="Arial"/>
                <w:b/>
              </w:rPr>
              <w:t xml:space="preserve">   </w:t>
            </w:r>
            <w:r w:rsidRPr="00517E4A">
              <w:rPr>
                <w:rFonts w:ascii="Arial" w:hAnsi="Arial" w:cs="Arial"/>
                <w:b/>
              </w:rPr>
              <w:t>Jalur SBMPTN</w:t>
            </w:r>
            <w:r w:rsidRPr="00517E4A">
              <w:rPr>
                <w:rFonts w:ascii="Arial" w:hAnsi="Arial" w:cs="Arial"/>
              </w:rPr>
              <w:t xml:space="preserve"> (Seleksi Bersama Masuk Perguruan Tinggi Negeri)  </w:t>
            </w:r>
          </w:p>
          <w:p w:rsidR="00C53D5D" w:rsidRPr="00517E4A" w:rsidRDefault="00C53D5D" w:rsidP="001D1D90">
            <w:pPr>
              <w:pStyle w:val="ListParagraph"/>
              <w:spacing w:before="0" w:beforeAutospacing="0" w:after="0" w:afterAutospacing="0"/>
              <w:ind w:left="567"/>
              <w:contextualSpacing/>
              <w:jc w:val="both"/>
              <w:rPr>
                <w:rFonts w:ascii="Arial" w:hAnsi="Arial" w:cs="Arial"/>
              </w:rPr>
            </w:pPr>
            <w:r w:rsidRPr="00517E4A">
              <w:rPr>
                <w:rFonts w:ascii="Arial" w:hAnsi="Arial" w:cs="Arial"/>
              </w:rPr>
              <w:t xml:space="preserve">SBMPTN adalah seleksi penerimaan mahasiswa baru melalui ujian tertulis atau kombinasi hasil ujian tertulis dan ujian keterampilan, maka pada tahun 2017 melaksanakan Ujian tertulis yang terdiri dari </w:t>
            </w:r>
            <w:r w:rsidRPr="00517E4A">
              <w:rPr>
                <w:rStyle w:val="Emphasis"/>
                <w:rFonts w:ascii="Arial" w:hAnsi="Arial" w:cs="Arial"/>
              </w:rPr>
              <w:t>Paper-Based Testing</w:t>
            </w:r>
            <w:r w:rsidRPr="00517E4A">
              <w:rPr>
                <w:rFonts w:ascii="Arial" w:hAnsi="Arial" w:cs="Arial"/>
              </w:rPr>
              <w:t xml:space="preserve"> (PBT) dan </w:t>
            </w:r>
            <w:r w:rsidRPr="00517E4A">
              <w:rPr>
                <w:rStyle w:val="Emphasis"/>
                <w:rFonts w:ascii="Arial" w:hAnsi="Arial" w:cs="Arial"/>
              </w:rPr>
              <w:t>Computer-Based Testing</w:t>
            </w:r>
            <w:r w:rsidRPr="00517E4A">
              <w:rPr>
                <w:rFonts w:ascii="Arial" w:hAnsi="Arial" w:cs="Arial"/>
              </w:rPr>
              <w:t xml:space="preserve"> (CBT), yang dapat diikuti oleh siswa lulusan tahun 2015, 2016, dan 2017 dari pendidikan menengah (SMA/MA/SMK) dan sederajat, serta lulusan Paket C tahun 2015, 2016, dan 2017.</w:t>
            </w:r>
          </w:p>
          <w:p w:rsidR="00C53D5D" w:rsidRPr="00517E4A" w:rsidRDefault="00C53D5D" w:rsidP="001D1D90">
            <w:pPr>
              <w:ind w:left="567"/>
              <w:rPr>
                <w:rFonts w:cs="Arial"/>
                <w:sz w:val="24"/>
                <w:szCs w:val="24"/>
                <w:lang w:val="id-ID"/>
              </w:rPr>
            </w:pPr>
            <w:r w:rsidRPr="00517E4A">
              <w:rPr>
                <w:rFonts w:cs="Arial"/>
                <w:sz w:val="24"/>
                <w:szCs w:val="24"/>
              </w:rPr>
              <w:t xml:space="preserve">Program pendidikan yang ditawarkan dalam seleksi ini adalah S1 Reguler. Pendaftaran SBMPTN 2017 dilakukan secara </w:t>
            </w:r>
            <w:r w:rsidRPr="00517E4A">
              <w:rPr>
                <w:rStyle w:val="Emphasis"/>
                <w:rFonts w:cs="Arial"/>
                <w:sz w:val="24"/>
                <w:szCs w:val="24"/>
              </w:rPr>
              <w:t>online</w:t>
            </w:r>
            <w:r w:rsidRPr="00517E4A">
              <w:rPr>
                <w:rFonts w:cs="Arial"/>
                <w:sz w:val="24"/>
                <w:szCs w:val="24"/>
              </w:rPr>
              <w:t xml:space="preserve">. Tata cara pendaftaran secara lengkap dapat dilihat pada laman </w:t>
            </w:r>
            <w:hyperlink r:id="rId6" w:history="1">
              <w:r w:rsidRPr="00517E4A">
                <w:rPr>
                  <w:rStyle w:val="Hyperlink"/>
                  <w:rFonts w:cs="Arial"/>
                  <w:color w:val="auto"/>
                  <w:sz w:val="24"/>
                  <w:szCs w:val="24"/>
                </w:rPr>
                <w:t>http://pendaftaran.sbmptn.ac.id</w:t>
              </w:r>
            </w:hyperlink>
            <w:r w:rsidRPr="00517E4A">
              <w:rPr>
                <w:rFonts w:cs="Arial"/>
                <w:sz w:val="24"/>
                <w:szCs w:val="24"/>
              </w:rPr>
              <w:t>.</w:t>
            </w:r>
          </w:p>
          <w:p w:rsidR="001D3D2B" w:rsidRPr="00517E4A" w:rsidRDefault="001D3D2B" w:rsidP="00C53D5D">
            <w:pPr>
              <w:ind w:left="284"/>
              <w:rPr>
                <w:rFonts w:cs="Arial"/>
                <w:b/>
                <w:sz w:val="24"/>
                <w:szCs w:val="24"/>
                <w:lang w:val="id-ID"/>
              </w:rPr>
            </w:pPr>
          </w:p>
          <w:p w:rsidR="00C53D5D" w:rsidRPr="00517E4A" w:rsidRDefault="00C53D5D" w:rsidP="00C53D5D">
            <w:pPr>
              <w:ind w:left="284"/>
              <w:rPr>
                <w:rFonts w:cs="Arial"/>
                <w:sz w:val="24"/>
                <w:szCs w:val="24"/>
              </w:rPr>
            </w:pPr>
            <w:r w:rsidRPr="00517E4A">
              <w:rPr>
                <w:rFonts w:cs="Arial"/>
                <w:b/>
                <w:sz w:val="24"/>
                <w:szCs w:val="24"/>
              </w:rPr>
              <w:t>b. Jalur SMM PTN-Barat (Seleksi Mandiri Masuk Perguruan Tinggi Negeri Wilayah Barat Indonesia</w:t>
            </w:r>
            <w:r w:rsidRPr="00517E4A">
              <w:rPr>
                <w:rFonts w:cs="Arial"/>
                <w:sz w:val="24"/>
                <w:szCs w:val="24"/>
              </w:rPr>
              <w:t xml:space="preserve">) . </w:t>
            </w:r>
          </w:p>
          <w:p w:rsidR="00C53D5D" w:rsidRPr="00517E4A" w:rsidRDefault="00C53D5D" w:rsidP="00C53D5D">
            <w:pPr>
              <w:ind w:left="567"/>
              <w:rPr>
                <w:rFonts w:cs="Arial"/>
                <w:sz w:val="24"/>
                <w:szCs w:val="24"/>
              </w:rPr>
            </w:pPr>
            <w:r w:rsidRPr="00517E4A">
              <w:rPr>
                <w:rFonts w:cs="Arial"/>
                <w:sz w:val="24"/>
                <w:szCs w:val="24"/>
              </w:rPr>
              <w:t>Penerimaan berdasarkan Ujian Tulis yang dilakukan secara Nasional yang dilaksanakan oleh Beberapa Perguruan tinggi negeri Indonesia Wilayah Barat adalah S1 Reguler dan Program Vokasi. Peserta yang dapat mendaftar program ini adalah lulusan SMA/SMK/MA/Sederajat Tahun Akademik 2017,2016, 2015,2014,2013</w:t>
            </w:r>
          </w:p>
          <w:p w:rsidR="00C53D5D" w:rsidRPr="00517E4A" w:rsidRDefault="00C53D5D" w:rsidP="001D3D2B">
            <w:pPr>
              <w:ind w:left="567"/>
              <w:rPr>
                <w:rFonts w:cs="Arial"/>
                <w:sz w:val="24"/>
                <w:szCs w:val="24"/>
              </w:rPr>
            </w:pPr>
            <w:r w:rsidRPr="00517E4A">
              <w:rPr>
                <w:rFonts w:cs="Arial"/>
                <w:sz w:val="24"/>
                <w:szCs w:val="24"/>
              </w:rPr>
              <w:t>Jalur SMMPTN diselenggarakan untuk melakukan seleksi calon mahasiswa di 16 (enam belas) Perguruan Tinggi Negeri di Indonesia Wilayah Barat. </w:t>
            </w:r>
          </w:p>
          <w:p w:rsidR="00C53D5D" w:rsidRPr="00517E4A" w:rsidRDefault="00C53D5D" w:rsidP="001D3D2B">
            <w:pPr>
              <w:pStyle w:val="default"/>
              <w:ind w:left="567"/>
              <w:contextualSpacing/>
              <w:rPr>
                <w:rFonts w:ascii="Arial" w:hAnsi="Arial" w:cs="Arial"/>
              </w:rPr>
            </w:pPr>
            <w:r w:rsidRPr="00517E4A">
              <w:rPr>
                <w:rFonts w:ascii="Arial" w:hAnsi="Arial" w:cs="Arial"/>
              </w:rPr>
              <w:t xml:space="preserve">1. Universitas Jambi </w:t>
            </w:r>
          </w:p>
          <w:p w:rsidR="00C53D5D" w:rsidRPr="00517E4A" w:rsidRDefault="00C53D5D" w:rsidP="001D3D2B">
            <w:pPr>
              <w:pStyle w:val="default"/>
              <w:ind w:left="567"/>
              <w:contextualSpacing/>
              <w:rPr>
                <w:rFonts w:ascii="Arial" w:hAnsi="Arial" w:cs="Arial"/>
              </w:rPr>
            </w:pPr>
            <w:r w:rsidRPr="00517E4A">
              <w:rPr>
                <w:rFonts w:ascii="Arial" w:hAnsi="Arial" w:cs="Arial"/>
              </w:rPr>
              <w:t xml:space="preserve">2. Universitas Teuku Umar </w:t>
            </w:r>
          </w:p>
          <w:p w:rsidR="00C53D5D" w:rsidRPr="00517E4A" w:rsidRDefault="00C53D5D" w:rsidP="001D3D2B">
            <w:pPr>
              <w:pStyle w:val="default"/>
              <w:ind w:left="567"/>
              <w:contextualSpacing/>
              <w:rPr>
                <w:rFonts w:ascii="Arial" w:hAnsi="Arial" w:cs="Arial"/>
              </w:rPr>
            </w:pPr>
            <w:r w:rsidRPr="00517E4A">
              <w:rPr>
                <w:rFonts w:ascii="Arial" w:hAnsi="Arial" w:cs="Arial"/>
              </w:rPr>
              <w:t xml:space="preserve">3. Institut Teknologi Sumatera </w:t>
            </w:r>
          </w:p>
          <w:p w:rsidR="00C53D5D" w:rsidRPr="00517E4A" w:rsidRDefault="00C53D5D" w:rsidP="001D3D2B">
            <w:pPr>
              <w:pStyle w:val="default"/>
              <w:ind w:left="567"/>
              <w:contextualSpacing/>
              <w:rPr>
                <w:rFonts w:ascii="Arial" w:hAnsi="Arial" w:cs="Arial"/>
              </w:rPr>
            </w:pPr>
            <w:r w:rsidRPr="00517E4A">
              <w:rPr>
                <w:rFonts w:ascii="Arial" w:hAnsi="Arial" w:cs="Arial"/>
              </w:rPr>
              <w:t xml:space="preserve">4. Universitas Syiah Kuala </w:t>
            </w:r>
          </w:p>
          <w:p w:rsidR="00C53D5D" w:rsidRPr="00517E4A" w:rsidRDefault="00C53D5D" w:rsidP="001D3D2B">
            <w:pPr>
              <w:pStyle w:val="default"/>
              <w:ind w:left="567"/>
              <w:contextualSpacing/>
              <w:rPr>
                <w:rFonts w:ascii="Arial" w:hAnsi="Arial" w:cs="Arial"/>
              </w:rPr>
            </w:pPr>
            <w:r w:rsidRPr="00517E4A">
              <w:rPr>
                <w:rFonts w:ascii="Arial" w:hAnsi="Arial" w:cs="Arial"/>
              </w:rPr>
              <w:t xml:space="preserve">5. Universitas Lampung </w:t>
            </w:r>
          </w:p>
          <w:p w:rsidR="00C53D5D" w:rsidRPr="00517E4A" w:rsidRDefault="00C53D5D" w:rsidP="001D3D2B">
            <w:pPr>
              <w:pStyle w:val="default"/>
              <w:ind w:left="567"/>
              <w:contextualSpacing/>
              <w:rPr>
                <w:rFonts w:ascii="Arial" w:hAnsi="Arial" w:cs="Arial"/>
              </w:rPr>
            </w:pPr>
            <w:r w:rsidRPr="00517E4A">
              <w:rPr>
                <w:rFonts w:ascii="Arial" w:hAnsi="Arial" w:cs="Arial"/>
              </w:rPr>
              <w:t xml:space="preserve">6. Universitas Maritim Raja Ali Haji </w:t>
            </w:r>
          </w:p>
          <w:p w:rsidR="00C53D5D" w:rsidRPr="00517E4A" w:rsidRDefault="00C53D5D" w:rsidP="001D3D2B">
            <w:pPr>
              <w:pStyle w:val="default"/>
              <w:ind w:left="567"/>
              <w:contextualSpacing/>
              <w:rPr>
                <w:rFonts w:ascii="Arial" w:hAnsi="Arial" w:cs="Arial"/>
              </w:rPr>
            </w:pPr>
            <w:r w:rsidRPr="00517E4A">
              <w:rPr>
                <w:rFonts w:ascii="Arial" w:hAnsi="Arial" w:cs="Arial"/>
              </w:rPr>
              <w:t>7. Universitas Andalas</w:t>
            </w:r>
          </w:p>
          <w:p w:rsidR="00C53D5D" w:rsidRPr="00517E4A" w:rsidRDefault="00C53D5D" w:rsidP="001D3D2B">
            <w:pPr>
              <w:pStyle w:val="default"/>
              <w:ind w:left="567"/>
              <w:contextualSpacing/>
              <w:rPr>
                <w:rFonts w:ascii="Arial" w:hAnsi="Arial" w:cs="Arial"/>
              </w:rPr>
            </w:pPr>
            <w:r w:rsidRPr="00517E4A">
              <w:rPr>
                <w:rFonts w:ascii="Arial" w:hAnsi="Arial" w:cs="Arial"/>
              </w:rPr>
              <w:t xml:space="preserve">8. Universitas Samudera </w:t>
            </w:r>
          </w:p>
          <w:p w:rsidR="00C53D5D" w:rsidRPr="00517E4A" w:rsidRDefault="00C53D5D" w:rsidP="001D3D2B">
            <w:pPr>
              <w:pStyle w:val="default"/>
              <w:ind w:left="567"/>
              <w:contextualSpacing/>
              <w:rPr>
                <w:rFonts w:ascii="Arial" w:hAnsi="Arial" w:cs="Arial"/>
              </w:rPr>
            </w:pPr>
            <w:r w:rsidRPr="00517E4A">
              <w:rPr>
                <w:rFonts w:ascii="Arial" w:hAnsi="Arial" w:cs="Arial"/>
              </w:rPr>
              <w:t xml:space="preserve">9. Universitas Palangkaraya </w:t>
            </w:r>
          </w:p>
          <w:p w:rsidR="00C53D5D" w:rsidRPr="00517E4A" w:rsidRDefault="00C53D5D" w:rsidP="001D3D2B">
            <w:pPr>
              <w:pStyle w:val="default"/>
              <w:ind w:left="567"/>
              <w:contextualSpacing/>
              <w:rPr>
                <w:rFonts w:ascii="Arial" w:hAnsi="Arial" w:cs="Arial"/>
              </w:rPr>
            </w:pPr>
            <w:r w:rsidRPr="00517E4A">
              <w:rPr>
                <w:rFonts w:ascii="Arial" w:hAnsi="Arial" w:cs="Arial"/>
              </w:rPr>
              <w:t xml:space="preserve">10. Universitas Sultan Ageng Tirtayasa </w:t>
            </w:r>
          </w:p>
          <w:p w:rsidR="00C53D5D" w:rsidRPr="00517E4A" w:rsidRDefault="00C53D5D" w:rsidP="001D3D2B">
            <w:pPr>
              <w:pStyle w:val="default"/>
              <w:ind w:left="567"/>
              <w:contextualSpacing/>
              <w:rPr>
                <w:rFonts w:ascii="Arial" w:hAnsi="Arial" w:cs="Arial"/>
              </w:rPr>
            </w:pPr>
            <w:r w:rsidRPr="00517E4A">
              <w:rPr>
                <w:rFonts w:ascii="Arial" w:hAnsi="Arial" w:cs="Arial"/>
              </w:rPr>
              <w:t xml:space="preserve">11. Universitas Bangka Belitung </w:t>
            </w:r>
          </w:p>
          <w:p w:rsidR="00C53D5D" w:rsidRPr="00517E4A" w:rsidRDefault="00C53D5D" w:rsidP="001D3D2B">
            <w:pPr>
              <w:pStyle w:val="default"/>
              <w:ind w:left="567"/>
              <w:contextualSpacing/>
              <w:rPr>
                <w:rFonts w:ascii="Arial" w:hAnsi="Arial" w:cs="Arial"/>
              </w:rPr>
            </w:pPr>
            <w:r w:rsidRPr="00517E4A">
              <w:rPr>
                <w:rFonts w:ascii="Arial" w:hAnsi="Arial" w:cs="Arial"/>
              </w:rPr>
              <w:t xml:space="preserve">12. UIN Palembang </w:t>
            </w:r>
          </w:p>
          <w:p w:rsidR="00C53D5D" w:rsidRPr="00517E4A" w:rsidRDefault="00C53D5D" w:rsidP="001D3D2B">
            <w:pPr>
              <w:pStyle w:val="default"/>
              <w:ind w:left="567"/>
              <w:contextualSpacing/>
              <w:rPr>
                <w:rFonts w:ascii="Arial" w:hAnsi="Arial" w:cs="Arial"/>
              </w:rPr>
            </w:pPr>
            <w:r w:rsidRPr="00517E4A">
              <w:rPr>
                <w:rFonts w:ascii="Arial" w:hAnsi="Arial" w:cs="Arial"/>
              </w:rPr>
              <w:t xml:space="preserve">13. ISI Padang Panjang </w:t>
            </w:r>
          </w:p>
          <w:p w:rsidR="00C53D5D" w:rsidRPr="00517E4A" w:rsidRDefault="00C53D5D" w:rsidP="001D3D2B">
            <w:pPr>
              <w:pStyle w:val="default"/>
              <w:ind w:left="567"/>
              <w:contextualSpacing/>
              <w:rPr>
                <w:rFonts w:ascii="Arial" w:hAnsi="Arial" w:cs="Arial"/>
              </w:rPr>
            </w:pPr>
            <w:r w:rsidRPr="00517E4A">
              <w:rPr>
                <w:rFonts w:ascii="Arial" w:hAnsi="Arial" w:cs="Arial"/>
              </w:rPr>
              <w:t xml:space="preserve">14. Universitas Bengkulu </w:t>
            </w:r>
          </w:p>
          <w:p w:rsidR="00C53D5D" w:rsidRPr="00517E4A" w:rsidRDefault="00C53D5D" w:rsidP="001D3D2B">
            <w:pPr>
              <w:pStyle w:val="default"/>
              <w:ind w:left="567"/>
              <w:contextualSpacing/>
              <w:rPr>
                <w:rFonts w:ascii="Arial" w:hAnsi="Arial" w:cs="Arial"/>
              </w:rPr>
            </w:pPr>
            <w:r w:rsidRPr="00517E4A">
              <w:rPr>
                <w:rFonts w:ascii="Arial" w:hAnsi="Arial" w:cs="Arial"/>
              </w:rPr>
              <w:t xml:space="preserve">15. Universitas Malikussaleh </w:t>
            </w:r>
          </w:p>
          <w:p w:rsidR="00C53D5D" w:rsidRPr="00517E4A" w:rsidRDefault="00C53D5D" w:rsidP="001D3D2B">
            <w:pPr>
              <w:pStyle w:val="default"/>
              <w:ind w:left="567"/>
              <w:contextualSpacing/>
              <w:rPr>
                <w:rFonts w:ascii="Arial" w:hAnsi="Arial" w:cs="Arial"/>
              </w:rPr>
            </w:pPr>
            <w:r w:rsidRPr="00517E4A">
              <w:rPr>
                <w:rFonts w:ascii="Arial" w:hAnsi="Arial" w:cs="Arial"/>
              </w:rPr>
              <w:t xml:space="preserve">16. ISBI Aceh </w:t>
            </w:r>
          </w:p>
          <w:p w:rsidR="00C53D5D" w:rsidRPr="00517E4A" w:rsidRDefault="00C53D5D" w:rsidP="00C53D5D">
            <w:pPr>
              <w:ind w:left="567"/>
              <w:rPr>
                <w:rFonts w:cs="Arial"/>
                <w:sz w:val="24"/>
                <w:szCs w:val="24"/>
              </w:rPr>
            </w:pPr>
            <w:r w:rsidRPr="00517E4A">
              <w:rPr>
                <w:rFonts w:cs="Arial"/>
                <w:sz w:val="24"/>
                <w:szCs w:val="24"/>
              </w:rPr>
              <w:t> </w:t>
            </w:r>
          </w:p>
          <w:p w:rsidR="006729F9" w:rsidRDefault="006729F9" w:rsidP="00C53D5D">
            <w:pPr>
              <w:pStyle w:val="Heading3"/>
              <w:spacing w:before="0"/>
              <w:rPr>
                <w:rFonts w:ascii="Arial" w:hAnsi="Arial" w:cs="Arial"/>
                <w:color w:val="auto"/>
                <w:sz w:val="24"/>
                <w:szCs w:val="24"/>
              </w:rPr>
            </w:pPr>
          </w:p>
          <w:p w:rsidR="006729F9" w:rsidRDefault="006729F9" w:rsidP="00C53D5D">
            <w:pPr>
              <w:pStyle w:val="Heading3"/>
              <w:spacing w:before="0"/>
              <w:rPr>
                <w:rFonts w:ascii="Arial" w:hAnsi="Arial" w:cs="Arial"/>
                <w:color w:val="auto"/>
                <w:sz w:val="24"/>
                <w:szCs w:val="24"/>
              </w:rPr>
            </w:pPr>
          </w:p>
          <w:p w:rsidR="006729F9" w:rsidRDefault="006729F9" w:rsidP="00C53D5D">
            <w:pPr>
              <w:pStyle w:val="Heading3"/>
              <w:spacing w:before="0"/>
              <w:rPr>
                <w:rFonts w:ascii="Arial" w:hAnsi="Arial" w:cs="Arial"/>
                <w:color w:val="auto"/>
                <w:sz w:val="24"/>
                <w:szCs w:val="24"/>
              </w:rPr>
            </w:pPr>
          </w:p>
          <w:p w:rsidR="006729F9" w:rsidRDefault="006729F9" w:rsidP="00C53D5D">
            <w:pPr>
              <w:pStyle w:val="Heading3"/>
              <w:spacing w:before="0"/>
              <w:rPr>
                <w:rFonts w:ascii="Arial" w:hAnsi="Arial" w:cs="Arial"/>
                <w:color w:val="auto"/>
                <w:sz w:val="24"/>
                <w:szCs w:val="24"/>
              </w:rPr>
            </w:pPr>
          </w:p>
          <w:p w:rsidR="00C53D5D" w:rsidRPr="00517E4A" w:rsidRDefault="00C53D5D" w:rsidP="00C53D5D">
            <w:pPr>
              <w:pStyle w:val="Heading3"/>
              <w:spacing w:before="0"/>
              <w:rPr>
                <w:rFonts w:ascii="Arial" w:hAnsi="Arial" w:cs="Arial"/>
                <w:color w:val="auto"/>
                <w:sz w:val="24"/>
                <w:szCs w:val="24"/>
              </w:rPr>
            </w:pPr>
            <w:r w:rsidRPr="00517E4A">
              <w:rPr>
                <w:rFonts w:ascii="Arial" w:hAnsi="Arial" w:cs="Arial"/>
                <w:color w:val="auto"/>
                <w:sz w:val="24"/>
                <w:szCs w:val="24"/>
              </w:rPr>
              <w:lastRenderedPageBreak/>
              <w:t>Persyaratan</w:t>
            </w:r>
          </w:p>
          <w:p w:rsidR="00C53D5D" w:rsidRPr="00517E4A" w:rsidRDefault="00C53D5D" w:rsidP="00C53D5D">
            <w:pPr>
              <w:numPr>
                <w:ilvl w:val="0"/>
                <w:numId w:val="1"/>
              </w:numPr>
              <w:spacing w:before="100" w:beforeAutospacing="1" w:after="100" w:afterAutospacing="1"/>
              <w:jc w:val="left"/>
              <w:rPr>
                <w:rFonts w:cs="Arial"/>
                <w:sz w:val="24"/>
                <w:szCs w:val="24"/>
              </w:rPr>
            </w:pPr>
            <w:r w:rsidRPr="00517E4A">
              <w:rPr>
                <w:rStyle w:val="Strong"/>
                <w:rFonts w:cs="Arial"/>
                <w:sz w:val="24"/>
                <w:szCs w:val="24"/>
              </w:rPr>
              <w:t>Pendaftaran</w:t>
            </w:r>
            <w:r w:rsidRPr="00517E4A">
              <w:rPr>
                <w:rFonts w:cs="Arial"/>
                <w:sz w:val="24"/>
                <w:szCs w:val="24"/>
              </w:rPr>
              <w:t xml:space="preserve"> </w:t>
            </w:r>
          </w:p>
          <w:p w:rsidR="00C53D5D" w:rsidRPr="00517E4A" w:rsidRDefault="00C53D5D" w:rsidP="00E9360E">
            <w:pPr>
              <w:numPr>
                <w:ilvl w:val="1"/>
                <w:numId w:val="1"/>
              </w:numPr>
              <w:spacing w:before="100" w:beforeAutospacing="1" w:after="100" w:afterAutospacing="1"/>
              <w:rPr>
                <w:rFonts w:cs="Arial"/>
                <w:sz w:val="24"/>
                <w:szCs w:val="24"/>
              </w:rPr>
            </w:pPr>
            <w:r w:rsidRPr="00517E4A">
              <w:rPr>
                <w:rFonts w:cs="Arial"/>
                <w:sz w:val="24"/>
                <w:szCs w:val="24"/>
              </w:rPr>
              <w:t>Bagi lulusan SMA/SMK/MA atau sederajat dan Paket C, harus memiliki ijazah.</w:t>
            </w:r>
          </w:p>
          <w:p w:rsidR="00C53D5D" w:rsidRPr="00517E4A" w:rsidRDefault="00C53D5D" w:rsidP="00E9360E">
            <w:pPr>
              <w:numPr>
                <w:ilvl w:val="1"/>
                <w:numId w:val="1"/>
              </w:numPr>
              <w:spacing w:before="100" w:beforeAutospacing="1" w:after="100" w:afterAutospacing="1"/>
              <w:rPr>
                <w:rFonts w:cs="Arial"/>
                <w:sz w:val="24"/>
                <w:szCs w:val="24"/>
              </w:rPr>
            </w:pPr>
            <w:r w:rsidRPr="00517E4A">
              <w:rPr>
                <w:rFonts w:cs="Arial"/>
                <w:sz w:val="24"/>
                <w:szCs w:val="24"/>
              </w:rPr>
              <w:t>Bagi lulusan SMA/SMK/MA atau sederajat dan Paket C tahun 2017, telah memiliki Surat Keterangan Lulus yang memuat sekurang-kurangnya informasi jati diri, pas foto yang bersangkutan, serta dibubuhi cap yang sah.</w:t>
            </w:r>
          </w:p>
          <w:p w:rsidR="00C53D5D" w:rsidRPr="00517E4A" w:rsidRDefault="00C53D5D" w:rsidP="00E9360E">
            <w:pPr>
              <w:numPr>
                <w:ilvl w:val="1"/>
                <w:numId w:val="1"/>
              </w:numPr>
              <w:spacing w:before="100" w:beforeAutospacing="1" w:after="100" w:afterAutospacing="1"/>
              <w:rPr>
                <w:rFonts w:cs="Arial"/>
                <w:sz w:val="24"/>
                <w:szCs w:val="24"/>
              </w:rPr>
            </w:pPr>
            <w:r w:rsidRPr="00517E4A">
              <w:rPr>
                <w:rFonts w:cs="Arial"/>
                <w:sz w:val="24"/>
                <w:szCs w:val="24"/>
              </w:rPr>
              <w:t>Peserta seleksi dalam kondisi kesehatan yang memadai sehingga tidak mengganggu proses pembelajaran pada program studinya.</w:t>
            </w:r>
          </w:p>
          <w:p w:rsidR="006729F9" w:rsidRDefault="00C53D5D" w:rsidP="006729F9">
            <w:pPr>
              <w:numPr>
                <w:ilvl w:val="1"/>
                <w:numId w:val="1"/>
              </w:numPr>
              <w:spacing w:before="100" w:beforeAutospacing="1" w:after="100" w:afterAutospacing="1"/>
              <w:rPr>
                <w:rFonts w:cs="Arial"/>
                <w:sz w:val="24"/>
                <w:szCs w:val="24"/>
              </w:rPr>
            </w:pPr>
            <w:r w:rsidRPr="006729F9">
              <w:rPr>
                <w:rFonts w:cs="Arial"/>
                <w:sz w:val="24"/>
                <w:szCs w:val="24"/>
              </w:rPr>
              <w:t>Ijazah adalah 3 tahun terakhir 2015, 2016, dan 2017 kecuali untuk UMRAH, UNJA, dan Unimal tahun ijazah 5 tahun yaitu 2013, 2014, 2015, 2016, dan 2017</w:t>
            </w:r>
          </w:p>
          <w:p w:rsidR="006729F9" w:rsidRPr="006729F9" w:rsidRDefault="006729F9" w:rsidP="006729F9">
            <w:pPr>
              <w:spacing w:before="100" w:beforeAutospacing="1" w:after="100" w:afterAutospacing="1"/>
              <w:ind w:left="1440"/>
              <w:rPr>
                <w:rFonts w:cs="Arial"/>
                <w:sz w:val="24"/>
                <w:szCs w:val="24"/>
              </w:rPr>
            </w:pPr>
          </w:p>
          <w:p w:rsidR="00C53D5D" w:rsidRPr="006729F9" w:rsidRDefault="00C53D5D" w:rsidP="006729F9">
            <w:pPr>
              <w:pStyle w:val="ListParagraph"/>
              <w:numPr>
                <w:ilvl w:val="0"/>
                <w:numId w:val="1"/>
              </w:numPr>
              <w:rPr>
                <w:rFonts w:cs="Arial"/>
              </w:rPr>
            </w:pPr>
            <w:r w:rsidRPr="006729F9">
              <w:rPr>
                <w:rStyle w:val="Strong"/>
                <w:rFonts w:cs="Arial"/>
              </w:rPr>
              <w:softHyphen/>
            </w:r>
            <w:r w:rsidRPr="006729F9">
              <w:rPr>
                <w:rStyle w:val="Strong"/>
                <w:rFonts w:cs="Arial"/>
              </w:rPr>
              <w:softHyphen/>
            </w:r>
            <w:r w:rsidRPr="006729F9">
              <w:rPr>
                <w:rStyle w:val="Strong"/>
                <w:rFonts w:cs="Arial"/>
              </w:rPr>
              <w:softHyphen/>
            </w:r>
            <w:r w:rsidRPr="006729F9">
              <w:rPr>
                <w:rStyle w:val="Strong"/>
                <w:rFonts w:cs="Arial"/>
              </w:rPr>
              <w:softHyphen/>
            </w:r>
            <w:r w:rsidRPr="006729F9">
              <w:rPr>
                <w:rStyle w:val="Strong"/>
                <w:rFonts w:cs="Arial"/>
              </w:rPr>
              <w:softHyphen/>
              <w:t>Penerimaan</w:t>
            </w:r>
            <w:r w:rsidRPr="006729F9">
              <w:rPr>
                <w:rFonts w:cs="Arial"/>
              </w:rPr>
              <w:t xml:space="preserve"> </w:t>
            </w:r>
          </w:p>
          <w:p w:rsidR="00C53D5D" w:rsidRPr="00517E4A" w:rsidRDefault="00C53D5D" w:rsidP="00C53D5D">
            <w:pPr>
              <w:ind w:left="1287"/>
              <w:rPr>
                <w:rFonts w:cs="Arial"/>
                <w:sz w:val="24"/>
                <w:szCs w:val="24"/>
              </w:rPr>
            </w:pPr>
            <w:r w:rsidRPr="00517E4A">
              <w:rPr>
                <w:rFonts w:cs="Arial"/>
                <w:sz w:val="24"/>
                <w:szCs w:val="24"/>
              </w:rPr>
              <w:t xml:space="preserve">Peserta seleksi lulus pendidikan menengah, lulus SMM PTN-BARAT 2017, sehat, dan memenuhi persyaratan lain yang ditetapkan oleh masing-masing PTN penerima, termasuk besaran nilai UKT dan Sumbangan Pengembangan Institusi yang besarnya dapat dilihat website perguruan tinggi masing-masing. </w:t>
            </w:r>
          </w:p>
          <w:p w:rsidR="00C53D5D" w:rsidRPr="00517E4A" w:rsidRDefault="00C53D5D" w:rsidP="00C53D5D">
            <w:pPr>
              <w:ind w:left="567"/>
              <w:rPr>
                <w:rFonts w:cs="Arial"/>
                <w:sz w:val="24"/>
                <w:szCs w:val="24"/>
              </w:rPr>
            </w:pPr>
            <w:r w:rsidRPr="00517E4A">
              <w:rPr>
                <w:rFonts w:cs="Arial"/>
                <w:sz w:val="24"/>
                <w:szCs w:val="24"/>
              </w:rPr>
              <w:t> </w:t>
            </w:r>
          </w:p>
          <w:p w:rsidR="00C53D5D" w:rsidRPr="00517E4A" w:rsidRDefault="00C53D5D" w:rsidP="00C53D5D">
            <w:pPr>
              <w:pStyle w:val="Heading2"/>
              <w:rPr>
                <w:rFonts w:ascii="Arial" w:hAnsi="Arial" w:cs="Arial"/>
                <w:color w:val="auto"/>
                <w:sz w:val="24"/>
                <w:szCs w:val="24"/>
              </w:rPr>
            </w:pPr>
            <w:r w:rsidRPr="00517E4A">
              <w:rPr>
                <w:rFonts w:ascii="Arial" w:hAnsi="Arial" w:cs="Arial"/>
                <w:color w:val="auto"/>
                <w:sz w:val="24"/>
                <w:szCs w:val="24"/>
              </w:rPr>
              <w:t>Prosedur Pendaftaran</w:t>
            </w:r>
          </w:p>
          <w:p w:rsidR="00C53D5D" w:rsidRPr="00517E4A" w:rsidRDefault="00C53D5D" w:rsidP="00C53D5D">
            <w:pPr>
              <w:jc w:val="center"/>
              <w:rPr>
                <w:rFonts w:cs="Arial"/>
                <w:sz w:val="24"/>
                <w:szCs w:val="24"/>
              </w:rPr>
            </w:pPr>
          </w:p>
          <w:p w:rsidR="00C53D5D" w:rsidRPr="00517E4A" w:rsidRDefault="00E9360E" w:rsidP="00E9360E">
            <w:pPr>
              <w:numPr>
                <w:ilvl w:val="0"/>
                <w:numId w:val="2"/>
              </w:numPr>
              <w:spacing w:before="100" w:beforeAutospacing="1" w:after="100" w:afterAutospacing="1"/>
              <w:rPr>
                <w:rFonts w:eastAsiaTheme="minorHAnsi" w:cs="Arial"/>
                <w:sz w:val="24"/>
                <w:szCs w:val="24"/>
              </w:rPr>
            </w:pPr>
            <w:r>
              <w:rPr>
                <w:rFonts w:eastAsiaTheme="minorHAnsi" w:cs="Arial"/>
                <w:sz w:val="24"/>
                <w:szCs w:val="24"/>
              </w:rPr>
              <w:t>Pendaftaran SMM PTN-BARAT</w:t>
            </w:r>
            <w:r w:rsidR="00C53D5D" w:rsidRPr="00517E4A">
              <w:rPr>
                <w:rFonts w:eastAsiaTheme="minorHAnsi" w:cs="Arial"/>
                <w:sz w:val="24"/>
                <w:szCs w:val="24"/>
              </w:rPr>
              <w:t xml:space="preserve"> dilakukan secara online. Tata cara pendaftaran secara lengkap dapat dilihat dan diunduh pada website    </w:t>
            </w:r>
            <w:hyperlink r:id="rId7" w:history="1">
              <w:r w:rsidR="00C53D5D" w:rsidRPr="00517E4A">
                <w:rPr>
                  <w:rStyle w:val="Hyperlink"/>
                  <w:rFonts w:eastAsiaTheme="minorHAnsi" w:cs="Arial"/>
                  <w:color w:val="auto"/>
                  <w:sz w:val="24"/>
                  <w:szCs w:val="24"/>
                </w:rPr>
                <w:t>http://www.smmptnbarat.id</w:t>
              </w:r>
            </w:hyperlink>
          </w:p>
          <w:p w:rsidR="00C53D5D" w:rsidRPr="00517E4A" w:rsidRDefault="00C53D5D" w:rsidP="00E9360E">
            <w:pPr>
              <w:numPr>
                <w:ilvl w:val="0"/>
                <w:numId w:val="2"/>
              </w:numPr>
              <w:spacing w:before="100" w:beforeAutospacing="1" w:after="100" w:afterAutospacing="1"/>
              <w:rPr>
                <w:rFonts w:eastAsiaTheme="minorHAnsi" w:cs="Arial"/>
                <w:sz w:val="24"/>
                <w:szCs w:val="24"/>
              </w:rPr>
            </w:pPr>
            <w:r w:rsidRPr="00517E4A">
              <w:rPr>
                <w:rFonts w:eastAsiaTheme="minorHAnsi" w:cs="Arial"/>
                <w:sz w:val="24"/>
                <w:szCs w:val="24"/>
              </w:rPr>
              <w:t>Proses pendaftaran diawali dengan pembayaran biaya registrasi dan seleksi melalui Bank yang ditetapkan untuk mendapat Nomor PIN sebagai bukti pembayaran.</w:t>
            </w:r>
          </w:p>
          <w:p w:rsidR="00C53D5D" w:rsidRPr="00E9360E" w:rsidRDefault="00C53D5D" w:rsidP="00E9360E">
            <w:pPr>
              <w:numPr>
                <w:ilvl w:val="0"/>
                <w:numId w:val="2"/>
              </w:numPr>
              <w:spacing w:before="100" w:beforeAutospacing="1" w:after="100" w:afterAutospacing="1"/>
              <w:rPr>
                <w:rFonts w:eastAsiaTheme="minorHAnsi" w:cs="Arial"/>
                <w:sz w:val="24"/>
                <w:szCs w:val="24"/>
              </w:rPr>
            </w:pPr>
            <w:r w:rsidRPr="00517E4A">
              <w:rPr>
                <w:rFonts w:eastAsiaTheme="minorHAnsi" w:cs="Arial"/>
                <w:sz w:val="24"/>
                <w:szCs w:val="24"/>
              </w:rPr>
              <w:t>Pengisian borang (formulir) pendaftaran ujian tertulis dan keterampilan dilakukan melalui website www.smmptnbarat.id dengan cara memasukan nomor identitas yang terdiri dari gabungan NISN dengan tanggal lahir (ddmmyy) dan PIN yang diperoleh dari proses pembayaran pada Bank yang ditetapkan.</w:t>
            </w:r>
          </w:p>
          <w:p w:rsidR="00C53D5D" w:rsidRPr="00517E4A" w:rsidRDefault="00C53D5D" w:rsidP="00E9360E">
            <w:pPr>
              <w:numPr>
                <w:ilvl w:val="0"/>
                <w:numId w:val="2"/>
              </w:numPr>
              <w:spacing w:before="100" w:beforeAutospacing="1" w:after="100" w:afterAutospacing="1"/>
              <w:rPr>
                <w:rFonts w:eastAsiaTheme="minorHAnsi" w:cs="Arial"/>
                <w:sz w:val="24"/>
                <w:szCs w:val="24"/>
              </w:rPr>
            </w:pPr>
            <w:r w:rsidRPr="00517E4A">
              <w:rPr>
                <w:rFonts w:eastAsiaTheme="minorHAnsi" w:cs="Arial"/>
                <w:sz w:val="24"/>
                <w:szCs w:val="24"/>
              </w:rPr>
              <w:t>Pada saat melakukan pendaftaran secara online, bagi peserta yang mengikuti SBMPTN, diminta memasukkan nomor tes SBMPTN pada kolom yang disediakan.</w:t>
            </w:r>
          </w:p>
          <w:p w:rsidR="00C53D5D" w:rsidRPr="00517E4A" w:rsidRDefault="00C53D5D" w:rsidP="00C53D5D">
            <w:pPr>
              <w:ind w:left="567"/>
              <w:rPr>
                <w:rFonts w:cs="Arial"/>
                <w:sz w:val="24"/>
                <w:szCs w:val="24"/>
                <w:lang w:eastAsia="id-ID"/>
              </w:rPr>
            </w:pPr>
            <w:r w:rsidRPr="00517E4A">
              <w:rPr>
                <w:rFonts w:cs="Arial"/>
                <w:sz w:val="24"/>
                <w:szCs w:val="24"/>
              </w:rPr>
              <w:t> </w:t>
            </w:r>
          </w:p>
          <w:p w:rsidR="00C53D5D" w:rsidRPr="00E9360E" w:rsidRDefault="00C53D5D" w:rsidP="00E9360E">
            <w:pPr>
              <w:pStyle w:val="Heading2"/>
              <w:rPr>
                <w:rFonts w:ascii="Arial" w:hAnsi="Arial" w:cs="Arial"/>
                <w:color w:val="auto"/>
                <w:sz w:val="24"/>
                <w:szCs w:val="24"/>
                <w:lang w:val="id-ID"/>
              </w:rPr>
            </w:pPr>
            <w:r w:rsidRPr="00517E4A">
              <w:rPr>
                <w:rFonts w:ascii="Arial" w:hAnsi="Arial" w:cs="Arial"/>
                <w:color w:val="auto"/>
                <w:sz w:val="24"/>
                <w:szCs w:val="24"/>
              </w:rPr>
              <w:t>Biaya Register dan Seleksi Ujian Tertulis dan Keterampilan</w:t>
            </w:r>
          </w:p>
          <w:p w:rsidR="00C53D5D" w:rsidRPr="00517E4A" w:rsidRDefault="00C53D5D" w:rsidP="00C53D5D">
            <w:pPr>
              <w:numPr>
                <w:ilvl w:val="0"/>
                <w:numId w:val="3"/>
              </w:numPr>
              <w:spacing w:before="100" w:beforeAutospacing="1" w:after="100" w:afterAutospacing="1"/>
              <w:jc w:val="left"/>
              <w:rPr>
                <w:rFonts w:eastAsiaTheme="minorHAnsi" w:cs="Arial"/>
                <w:sz w:val="24"/>
                <w:szCs w:val="24"/>
              </w:rPr>
            </w:pPr>
            <w:r w:rsidRPr="00517E4A">
              <w:rPr>
                <w:rFonts w:eastAsiaTheme="minorHAnsi" w:cs="Arial"/>
                <w:sz w:val="24"/>
                <w:szCs w:val="24"/>
              </w:rPr>
              <w:t>Biaya registrasi dan seleksi bagi peserta yang masuk kelompok Saintek atau Soshum (tidak ada materi uji keterampilan ) sebesar Rp 300.000,-</w:t>
            </w:r>
          </w:p>
          <w:p w:rsidR="00C53D5D" w:rsidRPr="00517E4A" w:rsidRDefault="00C53D5D" w:rsidP="00C53D5D">
            <w:pPr>
              <w:numPr>
                <w:ilvl w:val="0"/>
                <w:numId w:val="3"/>
              </w:numPr>
              <w:spacing w:before="100" w:beforeAutospacing="1" w:after="100" w:afterAutospacing="1"/>
              <w:jc w:val="left"/>
              <w:rPr>
                <w:rFonts w:eastAsiaTheme="minorHAnsi" w:cs="Arial"/>
                <w:sz w:val="24"/>
                <w:szCs w:val="24"/>
              </w:rPr>
            </w:pPr>
            <w:r w:rsidRPr="00517E4A">
              <w:rPr>
                <w:rFonts w:eastAsiaTheme="minorHAnsi" w:cs="Arial"/>
                <w:sz w:val="24"/>
                <w:szCs w:val="24"/>
              </w:rPr>
              <w:lastRenderedPageBreak/>
              <w:t>Biaya registrasi dan seleksi bagi peserta yang masuk kelompok Saintek atau Soshum yang ada materi uji keterampilan dan bagi peserta yang masuk kelompok Campuran adalah sebesar Rp 400.000,-</w:t>
            </w:r>
          </w:p>
          <w:p w:rsidR="00C53D5D" w:rsidRPr="00517E4A" w:rsidRDefault="00C53D5D" w:rsidP="00C53D5D">
            <w:pPr>
              <w:numPr>
                <w:ilvl w:val="0"/>
                <w:numId w:val="3"/>
              </w:numPr>
              <w:spacing w:before="100" w:beforeAutospacing="1" w:after="100" w:afterAutospacing="1"/>
              <w:jc w:val="left"/>
              <w:rPr>
                <w:rFonts w:eastAsiaTheme="minorHAnsi" w:cs="Arial"/>
                <w:sz w:val="24"/>
                <w:szCs w:val="24"/>
              </w:rPr>
            </w:pPr>
            <w:r w:rsidRPr="00517E4A">
              <w:rPr>
                <w:rFonts w:eastAsiaTheme="minorHAnsi" w:cs="Arial"/>
                <w:sz w:val="24"/>
                <w:szCs w:val="24"/>
              </w:rPr>
              <w:t>Biaya registrasi dan seleksi dapat dibayarkan pada waktu yang ditetapkan melalui Bank yang ditetapkan.</w:t>
            </w:r>
          </w:p>
          <w:p w:rsidR="00C53D5D" w:rsidRPr="00517E4A" w:rsidRDefault="00C53D5D" w:rsidP="00C53D5D">
            <w:pPr>
              <w:numPr>
                <w:ilvl w:val="0"/>
                <w:numId w:val="3"/>
              </w:numPr>
              <w:spacing w:before="100" w:beforeAutospacing="1" w:after="100" w:afterAutospacing="1"/>
              <w:jc w:val="left"/>
              <w:rPr>
                <w:rFonts w:eastAsiaTheme="minorHAnsi" w:cs="Arial"/>
                <w:sz w:val="24"/>
                <w:szCs w:val="24"/>
              </w:rPr>
            </w:pPr>
            <w:r w:rsidRPr="00517E4A">
              <w:rPr>
                <w:rFonts w:eastAsiaTheme="minorHAnsi" w:cs="Arial"/>
                <w:sz w:val="24"/>
                <w:szCs w:val="24"/>
              </w:rPr>
              <w:t>Biaya registrasi dan seleksi yang telah dibayarkan TIDAK DAPAT ditarik kembali dengan alasan apa pun.</w:t>
            </w:r>
          </w:p>
          <w:p w:rsidR="006729F9" w:rsidRDefault="006729F9" w:rsidP="004E04B7">
            <w:pPr>
              <w:autoSpaceDE w:val="0"/>
              <w:autoSpaceDN w:val="0"/>
              <w:adjustRightInd w:val="0"/>
              <w:spacing w:line="360" w:lineRule="auto"/>
              <w:rPr>
                <w:rFonts w:cs="Arial"/>
                <w:b/>
                <w:bCs/>
                <w:sz w:val="24"/>
                <w:szCs w:val="24"/>
              </w:rPr>
            </w:pPr>
          </w:p>
          <w:p w:rsidR="004E04B7" w:rsidRPr="00917FB5" w:rsidRDefault="00917FB5" w:rsidP="004E04B7">
            <w:pPr>
              <w:autoSpaceDE w:val="0"/>
              <w:autoSpaceDN w:val="0"/>
              <w:adjustRightInd w:val="0"/>
              <w:spacing w:line="360" w:lineRule="auto"/>
              <w:rPr>
                <w:rFonts w:eastAsiaTheme="minorHAnsi" w:cs="Arial"/>
                <w:sz w:val="24"/>
                <w:szCs w:val="24"/>
                <w:lang w:val="id-ID"/>
              </w:rPr>
            </w:pPr>
            <w:r>
              <w:rPr>
                <w:rFonts w:cs="Arial"/>
                <w:b/>
                <w:bCs/>
                <w:sz w:val="24"/>
                <w:szCs w:val="24"/>
                <w:lang w:val="id-ID"/>
              </w:rPr>
              <w:t>Efektivitas Sistem Rekrutmen</w:t>
            </w:r>
          </w:p>
          <w:p w:rsidR="004E04B7" w:rsidRPr="00517E4A" w:rsidRDefault="004E04B7" w:rsidP="004E04B7">
            <w:pPr>
              <w:pStyle w:val="Header"/>
              <w:tabs>
                <w:tab w:val="clear" w:pos="4320"/>
                <w:tab w:val="clear" w:pos="8640"/>
              </w:tabs>
              <w:spacing w:line="360" w:lineRule="auto"/>
              <w:ind w:firstLine="885"/>
              <w:rPr>
                <w:rFonts w:cs="Arial"/>
                <w:sz w:val="24"/>
                <w:szCs w:val="24"/>
                <w:lang w:val="id-ID"/>
              </w:rPr>
            </w:pPr>
            <w:r w:rsidRPr="00517E4A">
              <w:rPr>
                <w:rFonts w:cs="Arial"/>
                <w:sz w:val="24"/>
                <w:szCs w:val="24"/>
                <w:lang w:val="fi-FI"/>
              </w:rPr>
              <w:t xml:space="preserve">Efektivitas sistem rekrutmen calon mahasiswa melalui jalur-jalur tersebut di atas  selama ini dinilai signifikan karena beberapa hal. </w:t>
            </w:r>
            <w:r w:rsidRPr="00517E4A">
              <w:rPr>
                <w:rFonts w:cs="Arial"/>
                <w:i/>
                <w:sz w:val="24"/>
                <w:szCs w:val="24"/>
                <w:lang w:val="fi-FI"/>
              </w:rPr>
              <w:t>Pertama</w:t>
            </w:r>
            <w:r w:rsidRPr="00517E4A">
              <w:rPr>
                <w:rFonts w:cs="Arial"/>
                <w:sz w:val="24"/>
                <w:szCs w:val="24"/>
                <w:lang w:val="fi-FI"/>
              </w:rPr>
              <w:t xml:space="preserve">, </w:t>
            </w:r>
            <w:r w:rsidR="007367C3" w:rsidRPr="00517E4A">
              <w:rPr>
                <w:rFonts w:cs="Arial"/>
                <w:sz w:val="24"/>
                <w:szCs w:val="24"/>
                <w:lang w:val="id-ID"/>
              </w:rPr>
              <w:t xml:space="preserve">berdasarkan data </w:t>
            </w:r>
            <w:hyperlink r:id="rId8" w:history="1">
              <w:r w:rsidR="007367C3" w:rsidRPr="00517E4A">
                <w:rPr>
                  <w:rStyle w:val="Hyperlink"/>
                  <w:rFonts w:cs="Arial"/>
                  <w:color w:val="auto"/>
                  <w:sz w:val="24"/>
                  <w:szCs w:val="24"/>
                  <w:lang w:val="id-ID"/>
                </w:rPr>
                <w:t>https://sbmptn.ac.id</w:t>
              </w:r>
            </w:hyperlink>
            <w:r w:rsidR="007367C3" w:rsidRPr="00517E4A">
              <w:rPr>
                <w:rFonts w:cs="Arial"/>
                <w:sz w:val="24"/>
                <w:szCs w:val="24"/>
                <w:lang w:val="id-ID"/>
              </w:rPr>
              <w:t xml:space="preserve"> </w:t>
            </w:r>
            <w:r w:rsidRPr="00517E4A">
              <w:rPr>
                <w:rFonts w:cs="Arial"/>
                <w:sz w:val="24"/>
                <w:szCs w:val="24"/>
                <w:lang w:val="fi-FI"/>
              </w:rPr>
              <w:t xml:space="preserve">peminat ke </w:t>
            </w:r>
            <w:r w:rsidRPr="00517E4A">
              <w:rPr>
                <w:rFonts w:cs="Arial"/>
                <w:sz w:val="24"/>
                <w:szCs w:val="24"/>
                <w:lang w:val="id-ID"/>
              </w:rPr>
              <w:t>Fisipol Universitas Jambi</w:t>
            </w:r>
            <w:r w:rsidRPr="00517E4A">
              <w:rPr>
                <w:rFonts w:cs="Arial"/>
                <w:sz w:val="24"/>
                <w:szCs w:val="24"/>
                <w:lang w:val="fi-FI"/>
              </w:rPr>
              <w:t xml:space="preserve"> dua tahun terakhir </w:t>
            </w:r>
            <w:r w:rsidR="007367C3" w:rsidRPr="00517E4A">
              <w:rPr>
                <w:rFonts w:cs="Arial"/>
                <w:sz w:val="24"/>
                <w:szCs w:val="24"/>
                <w:lang w:val="id-ID"/>
              </w:rPr>
              <w:t>mengalami peningkatan</w:t>
            </w:r>
            <w:r w:rsidRPr="00517E4A">
              <w:rPr>
                <w:rFonts w:cs="Arial"/>
                <w:sz w:val="24"/>
                <w:szCs w:val="24"/>
                <w:lang w:val="fi-FI"/>
              </w:rPr>
              <w:t xml:space="preserve"> (201</w:t>
            </w:r>
            <w:r w:rsidRPr="00517E4A">
              <w:rPr>
                <w:rFonts w:cs="Arial"/>
                <w:sz w:val="24"/>
                <w:szCs w:val="24"/>
                <w:lang w:val="id-ID"/>
              </w:rPr>
              <w:t>5</w:t>
            </w:r>
            <w:r w:rsidRPr="00517E4A">
              <w:rPr>
                <w:rFonts w:cs="Arial"/>
                <w:sz w:val="24"/>
                <w:szCs w:val="24"/>
                <w:lang w:val="fi-FI"/>
              </w:rPr>
              <w:t>=</w:t>
            </w:r>
            <w:r w:rsidR="007367C3" w:rsidRPr="00517E4A">
              <w:rPr>
                <w:rFonts w:cs="Arial"/>
                <w:sz w:val="24"/>
                <w:szCs w:val="24"/>
                <w:lang w:val="id-ID"/>
              </w:rPr>
              <w:t xml:space="preserve"> 1.179</w:t>
            </w:r>
            <w:r w:rsidRPr="00517E4A">
              <w:rPr>
                <w:rFonts w:cs="Arial"/>
                <w:sz w:val="24"/>
                <w:szCs w:val="24"/>
                <w:lang w:val="fi-FI"/>
              </w:rPr>
              <w:t xml:space="preserve"> orang &amp; 201</w:t>
            </w:r>
            <w:r w:rsidRPr="00517E4A">
              <w:rPr>
                <w:rFonts w:cs="Arial"/>
                <w:sz w:val="24"/>
                <w:szCs w:val="24"/>
                <w:lang w:val="id-ID"/>
              </w:rPr>
              <w:t>6</w:t>
            </w:r>
            <w:r w:rsidRPr="00517E4A">
              <w:rPr>
                <w:rFonts w:cs="Arial"/>
                <w:sz w:val="24"/>
                <w:szCs w:val="24"/>
                <w:lang w:val="fi-FI"/>
              </w:rPr>
              <w:t>=</w:t>
            </w:r>
            <w:r w:rsidR="007367C3" w:rsidRPr="00517E4A">
              <w:rPr>
                <w:rFonts w:cs="Arial"/>
                <w:sz w:val="24"/>
                <w:szCs w:val="24"/>
                <w:lang w:val="id-ID"/>
              </w:rPr>
              <w:t xml:space="preserve"> 1.328</w:t>
            </w:r>
            <w:r w:rsidRPr="00517E4A">
              <w:rPr>
                <w:rFonts w:cs="Arial"/>
                <w:sz w:val="24"/>
                <w:szCs w:val="24"/>
                <w:lang w:val="fi-FI"/>
              </w:rPr>
              <w:t xml:space="preserve"> orang). </w:t>
            </w:r>
            <w:r w:rsidRPr="00517E4A">
              <w:rPr>
                <w:rFonts w:cs="Arial"/>
                <w:i/>
                <w:sz w:val="24"/>
                <w:szCs w:val="24"/>
                <w:lang w:val="fi-FI"/>
              </w:rPr>
              <w:t>Kedua</w:t>
            </w:r>
            <w:r w:rsidRPr="00517E4A">
              <w:rPr>
                <w:rFonts w:cs="Arial"/>
                <w:sz w:val="24"/>
                <w:szCs w:val="24"/>
                <w:lang w:val="fi-FI"/>
              </w:rPr>
              <w:t>, daya tampung f</w:t>
            </w:r>
            <w:r w:rsidR="007367C3" w:rsidRPr="00517E4A">
              <w:rPr>
                <w:rFonts w:cs="Arial"/>
                <w:sz w:val="24"/>
                <w:szCs w:val="24"/>
                <w:lang w:val="fi-FI"/>
              </w:rPr>
              <w:t>akultas dua tahun terakhir (201</w:t>
            </w:r>
            <w:r w:rsidR="007367C3" w:rsidRPr="00517E4A">
              <w:rPr>
                <w:rFonts w:cs="Arial"/>
                <w:sz w:val="24"/>
                <w:szCs w:val="24"/>
                <w:lang w:val="id-ID"/>
              </w:rPr>
              <w:t>5</w:t>
            </w:r>
            <w:r w:rsidRPr="00517E4A">
              <w:rPr>
                <w:rFonts w:cs="Arial"/>
                <w:sz w:val="24"/>
                <w:szCs w:val="24"/>
                <w:lang w:val="fi-FI"/>
              </w:rPr>
              <w:t>=</w:t>
            </w:r>
            <w:r w:rsidR="00A041D1">
              <w:rPr>
                <w:rFonts w:cs="Arial"/>
                <w:sz w:val="24"/>
                <w:szCs w:val="24"/>
                <w:lang w:val="id-ID"/>
              </w:rPr>
              <w:t xml:space="preserve"> 229</w:t>
            </w:r>
            <w:r w:rsidR="007367C3" w:rsidRPr="00517E4A">
              <w:rPr>
                <w:rFonts w:cs="Arial"/>
                <w:sz w:val="24"/>
                <w:szCs w:val="24"/>
                <w:lang w:val="id-ID"/>
              </w:rPr>
              <w:t xml:space="preserve"> orang</w:t>
            </w:r>
            <w:r w:rsidR="007367C3" w:rsidRPr="00517E4A">
              <w:rPr>
                <w:rFonts w:cs="Arial"/>
                <w:sz w:val="24"/>
                <w:szCs w:val="24"/>
                <w:lang w:val="fi-FI"/>
              </w:rPr>
              <w:t xml:space="preserve"> &amp; 201</w:t>
            </w:r>
            <w:r w:rsidR="007367C3" w:rsidRPr="00517E4A">
              <w:rPr>
                <w:rFonts w:cs="Arial"/>
                <w:sz w:val="24"/>
                <w:szCs w:val="24"/>
                <w:lang w:val="id-ID"/>
              </w:rPr>
              <w:t>6</w:t>
            </w:r>
            <w:r w:rsidRPr="00517E4A">
              <w:rPr>
                <w:rFonts w:cs="Arial"/>
                <w:sz w:val="24"/>
                <w:szCs w:val="24"/>
                <w:lang w:val="fi-FI"/>
              </w:rPr>
              <w:t>=</w:t>
            </w:r>
            <w:r w:rsidR="00A041D1">
              <w:rPr>
                <w:rFonts w:cs="Arial"/>
                <w:sz w:val="24"/>
                <w:szCs w:val="24"/>
                <w:lang w:val="id-ID"/>
              </w:rPr>
              <w:t xml:space="preserve"> 298</w:t>
            </w:r>
            <w:r w:rsidR="007367C3" w:rsidRPr="00517E4A">
              <w:rPr>
                <w:rFonts w:cs="Arial"/>
                <w:sz w:val="24"/>
                <w:szCs w:val="24"/>
                <w:lang w:val="id-ID"/>
              </w:rPr>
              <w:t xml:space="preserve"> orang</w:t>
            </w:r>
            <w:r w:rsidRPr="00517E4A">
              <w:rPr>
                <w:rFonts w:cs="Arial"/>
                <w:sz w:val="24"/>
                <w:szCs w:val="24"/>
                <w:lang w:val="fi-FI"/>
              </w:rPr>
              <w:t xml:space="preserve">) yang cenderung terus menurun menunjukkan semakin ketatnya masuk ke </w:t>
            </w:r>
            <w:r w:rsidR="00D31F85" w:rsidRPr="00517E4A">
              <w:rPr>
                <w:rFonts w:cs="Arial"/>
                <w:sz w:val="24"/>
                <w:szCs w:val="24"/>
                <w:lang w:val="id-ID"/>
              </w:rPr>
              <w:t>Fisipol Universitas Jambi</w:t>
            </w:r>
            <w:r w:rsidR="007B1E50" w:rsidRPr="00517E4A">
              <w:rPr>
                <w:rFonts w:cs="Arial"/>
                <w:sz w:val="24"/>
                <w:szCs w:val="24"/>
                <w:lang w:val="id-ID"/>
              </w:rPr>
              <w:t xml:space="preserve"> berdasarkan jumlah peminat</w:t>
            </w:r>
            <w:r w:rsidRPr="00517E4A">
              <w:rPr>
                <w:rFonts w:cs="Arial"/>
                <w:sz w:val="24"/>
                <w:szCs w:val="24"/>
                <w:lang w:val="fi-FI"/>
              </w:rPr>
              <w:t xml:space="preserve">. </w:t>
            </w:r>
            <w:r w:rsidRPr="00517E4A">
              <w:rPr>
                <w:rFonts w:cs="Arial"/>
                <w:i/>
                <w:sz w:val="24"/>
                <w:szCs w:val="24"/>
                <w:lang w:val="fi-FI"/>
              </w:rPr>
              <w:t>Ketiga</w:t>
            </w:r>
            <w:r w:rsidRPr="00517E4A">
              <w:rPr>
                <w:rFonts w:cs="Arial"/>
                <w:sz w:val="24"/>
                <w:szCs w:val="24"/>
                <w:lang w:val="fi-FI"/>
              </w:rPr>
              <w:t xml:space="preserve">, tingkat keketatan atau rasio calon yang </w:t>
            </w:r>
            <w:r w:rsidRPr="00517E4A">
              <w:rPr>
                <w:rFonts w:cs="Arial"/>
                <w:b/>
                <w:sz w:val="24"/>
                <w:szCs w:val="24"/>
                <w:lang w:val="fi-FI"/>
              </w:rPr>
              <w:t>diterima : peminat</w:t>
            </w:r>
            <w:r w:rsidR="007B1E50" w:rsidRPr="00517E4A">
              <w:rPr>
                <w:rFonts w:cs="Arial"/>
                <w:sz w:val="24"/>
                <w:szCs w:val="24"/>
                <w:lang w:val="fi-FI"/>
              </w:rPr>
              <w:t xml:space="preserve"> dua tahun terakhir (201</w:t>
            </w:r>
            <w:r w:rsidR="007B1E50" w:rsidRPr="00517E4A">
              <w:rPr>
                <w:rFonts w:cs="Arial"/>
                <w:sz w:val="24"/>
                <w:szCs w:val="24"/>
                <w:lang w:val="id-ID"/>
              </w:rPr>
              <w:t>5</w:t>
            </w:r>
            <w:r w:rsidR="007B1E50" w:rsidRPr="00517E4A">
              <w:rPr>
                <w:rFonts w:cs="Arial"/>
                <w:sz w:val="24"/>
                <w:szCs w:val="24"/>
                <w:lang w:val="fi-FI"/>
              </w:rPr>
              <w:t>-201</w:t>
            </w:r>
            <w:r w:rsidR="007B1E50" w:rsidRPr="00517E4A">
              <w:rPr>
                <w:rFonts w:cs="Arial"/>
                <w:sz w:val="24"/>
                <w:szCs w:val="24"/>
                <w:lang w:val="id-ID"/>
              </w:rPr>
              <w:t>6</w:t>
            </w:r>
            <w:r w:rsidRPr="00517E4A">
              <w:rPr>
                <w:rFonts w:cs="Arial"/>
                <w:sz w:val="24"/>
                <w:szCs w:val="24"/>
                <w:lang w:val="fi-FI"/>
              </w:rPr>
              <w:t>) rata-rata sebesar 1</w:t>
            </w:r>
            <w:r w:rsidR="00040E06" w:rsidRPr="00517E4A">
              <w:rPr>
                <w:rFonts w:cs="Arial"/>
                <w:sz w:val="24"/>
                <w:szCs w:val="24"/>
                <w:lang w:val="id-ID"/>
              </w:rPr>
              <w:t xml:space="preserve"> </w:t>
            </w:r>
            <w:r w:rsidRPr="00517E4A">
              <w:rPr>
                <w:rFonts w:cs="Arial"/>
                <w:sz w:val="24"/>
                <w:szCs w:val="24"/>
                <w:lang w:val="fi-FI"/>
              </w:rPr>
              <w:t>:</w:t>
            </w:r>
            <w:r w:rsidR="00040E06" w:rsidRPr="00517E4A">
              <w:rPr>
                <w:rFonts w:cs="Arial"/>
                <w:sz w:val="24"/>
                <w:szCs w:val="24"/>
                <w:lang w:val="id-ID"/>
              </w:rPr>
              <w:t xml:space="preserve"> 20</w:t>
            </w:r>
            <w:r w:rsidRPr="00517E4A">
              <w:rPr>
                <w:rFonts w:cs="Arial"/>
                <w:sz w:val="24"/>
                <w:szCs w:val="24"/>
                <w:lang w:val="fi-FI"/>
              </w:rPr>
              <w:t xml:space="preserve">  yang artinya setiap 1 orang harus berkompetisi dengan </w:t>
            </w:r>
            <w:r w:rsidR="00040E06" w:rsidRPr="00517E4A">
              <w:rPr>
                <w:rFonts w:cs="Arial"/>
                <w:sz w:val="24"/>
                <w:szCs w:val="24"/>
                <w:lang w:val="id-ID"/>
              </w:rPr>
              <w:t>20</w:t>
            </w:r>
            <w:r w:rsidRPr="00517E4A">
              <w:rPr>
                <w:rFonts w:cs="Arial"/>
                <w:sz w:val="24"/>
                <w:szCs w:val="24"/>
                <w:lang w:val="fi-FI"/>
              </w:rPr>
              <w:t xml:space="preserve"> orang calon untuk bisa masuk ke </w:t>
            </w:r>
            <w:r w:rsidR="00A46681" w:rsidRPr="00517E4A">
              <w:rPr>
                <w:rFonts w:cs="Arial"/>
                <w:sz w:val="24"/>
                <w:szCs w:val="24"/>
                <w:lang w:val="id-ID"/>
              </w:rPr>
              <w:t>Fisipol Universitas Jambi</w:t>
            </w:r>
            <w:r w:rsidRPr="00517E4A">
              <w:rPr>
                <w:rFonts w:cs="Arial"/>
                <w:sz w:val="24"/>
                <w:szCs w:val="24"/>
                <w:lang w:val="fi-FI"/>
              </w:rPr>
              <w:t>.</w:t>
            </w:r>
          </w:p>
          <w:p w:rsidR="00273417" w:rsidRPr="00517E4A" w:rsidRDefault="004E04B7" w:rsidP="005519FE">
            <w:pPr>
              <w:pStyle w:val="Header"/>
              <w:tabs>
                <w:tab w:val="clear" w:pos="4320"/>
                <w:tab w:val="clear" w:pos="8640"/>
              </w:tabs>
              <w:spacing w:line="360" w:lineRule="auto"/>
              <w:ind w:firstLine="885"/>
              <w:rPr>
                <w:rFonts w:cs="Arial"/>
                <w:sz w:val="24"/>
                <w:szCs w:val="24"/>
                <w:lang w:val="id-ID"/>
              </w:rPr>
            </w:pPr>
            <w:r w:rsidRPr="00517E4A">
              <w:rPr>
                <w:rFonts w:cs="Arial"/>
                <w:sz w:val="24"/>
                <w:szCs w:val="24"/>
                <w:lang w:val="fi-FI"/>
              </w:rPr>
              <w:t xml:space="preserve">Proporsi antara jumlah mahasiswa yang diterima dan yang melakukan registrasi pada prinsipnya </w:t>
            </w:r>
            <w:r w:rsidR="003357CB" w:rsidRPr="00517E4A">
              <w:rPr>
                <w:rFonts w:cs="Arial"/>
                <w:sz w:val="24"/>
                <w:szCs w:val="24"/>
                <w:lang w:val="id-ID"/>
              </w:rPr>
              <w:t>sama</w:t>
            </w:r>
            <w:r w:rsidRPr="00517E4A">
              <w:rPr>
                <w:rFonts w:cs="Arial"/>
                <w:sz w:val="24"/>
                <w:szCs w:val="24"/>
                <w:lang w:val="fi-FI"/>
              </w:rPr>
              <w:t xml:space="preserve">. Ada beberapa faktor yang memengaruhinya. </w:t>
            </w:r>
            <w:r w:rsidRPr="00517E4A">
              <w:rPr>
                <w:rFonts w:cs="Arial"/>
                <w:i/>
                <w:iCs/>
                <w:sz w:val="24"/>
                <w:szCs w:val="24"/>
                <w:lang w:val="fi-FI"/>
              </w:rPr>
              <w:t>Pertama</w:t>
            </w:r>
            <w:r w:rsidRPr="00517E4A">
              <w:rPr>
                <w:rFonts w:cs="Arial"/>
                <w:sz w:val="24"/>
                <w:szCs w:val="24"/>
                <w:lang w:val="fi-FI"/>
              </w:rPr>
              <w:t xml:space="preserve">, </w:t>
            </w:r>
            <w:r w:rsidR="003357CB" w:rsidRPr="00517E4A">
              <w:rPr>
                <w:rFonts w:cs="Arial"/>
                <w:sz w:val="24"/>
                <w:szCs w:val="24"/>
                <w:lang w:val="id-ID"/>
              </w:rPr>
              <w:t>Universitas Jambi merupakan salah satu perguruan tinggi utama di Provinsi Jambi, sehingga menjadi kebanggaan tersendiri dapat diterima menjadi mahasiswa di Unja</w:t>
            </w:r>
            <w:r w:rsidRPr="00517E4A">
              <w:rPr>
                <w:rFonts w:cs="Arial"/>
                <w:sz w:val="24"/>
                <w:szCs w:val="24"/>
                <w:lang w:val="fi-FI"/>
              </w:rPr>
              <w:t xml:space="preserve">. </w:t>
            </w:r>
            <w:r w:rsidRPr="00517E4A">
              <w:rPr>
                <w:rFonts w:cs="Arial"/>
                <w:i/>
                <w:iCs/>
                <w:sz w:val="24"/>
                <w:szCs w:val="24"/>
                <w:lang w:val="fi-FI"/>
              </w:rPr>
              <w:t>Kedua</w:t>
            </w:r>
            <w:r w:rsidRPr="00517E4A">
              <w:rPr>
                <w:rFonts w:cs="Arial"/>
                <w:sz w:val="24"/>
                <w:szCs w:val="24"/>
                <w:lang w:val="fi-FI"/>
              </w:rPr>
              <w:t xml:space="preserve">, </w:t>
            </w:r>
            <w:r w:rsidR="003357CB" w:rsidRPr="00517E4A">
              <w:rPr>
                <w:rFonts w:cs="Arial"/>
                <w:sz w:val="24"/>
                <w:szCs w:val="24"/>
                <w:lang w:val="id-ID"/>
              </w:rPr>
              <w:t xml:space="preserve">Prodi-prodi yang ditawarkan Fisipol Universitas Jambi (Ilmu Pemerintahan dan Ilmu Politik) merupakan </w:t>
            </w:r>
            <w:r w:rsidR="00CD02DF" w:rsidRPr="00517E4A">
              <w:rPr>
                <w:rFonts w:cs="Arial"/>
                <w:sz w:val="24"/>
                <w:szCs w:val="24"/>
                <w:lang w:val="id-ID"/>
              </w:rPr>
              <w:t>pilihan utama yang banyak diminati oleh mahasiswa baru</w:t>
            </w:r>
            <w:r w:rsidRPr="00517E4A">
              <w:rPr>
                <w:rFonts w:cs="Arial"/>
                <w:sz w:val="24"/>
                <w:szCs w:val="24"/>
                <w:lang w:val="fi-FI"/>
              </w:rPr>
              <w:t>.</w:t>
            </w:r>
            <w:r w:rsidR="00CD02DF" w:rsidRPr="00517E4A">
              <w:rPr>
                <w:rFonts w:cs="Arial"/>
                <w:sz w:val="24"/>
                <w:szCs w:val="24"/>
                <w:lang w:val="id-ID"/>
              </w:rPr>
              <w:t xml:space="preserve"> </w:t>
            </w:r>
            <w:r w:rsidR="00CD02DF" w:rsidRPr="00517E4A">
              <w:rPr>
                <w:rFonts w:cs="Arial"/>
                <w:i/>
                <w:sz w:val="24"/>
                <w:szCs w:val="24"/>
                <w:lang w:val="id-ID"/>
              </w:rPr>
              <w:t>Ketiga</w:t>
            </w:r>
            <w:r w:rsidR="00CD02DF" w:rsidRPr="00517E4A">
              <w:rPr>
                <w:rFonts w:cs="Arial"/>
                <w:sz w:val="24"/>
                <w:szCs w:val="24"/>
                <w:lang w:val="id-ID"/>
              </w:rPr>
              <w:t xml:space="preserve">, biaya kuliah yang ditawarkan oleh Universitas Jambi relatif dapat dijangkau oleh orang tua/wali mahasiswa. </w:t>
            </w:r>
            <w:r w:rsidR="00CD02DF" w:rsidRPr="00517E4A">
              <w:rPr>
                <w:rFonts w:cs="Arial"/>
                <w:i/>
                <w:sz w:val="24"/>
                <w:szCs w:val="24"/>
                <w:lang w:val="id-ID"/>
              </w:rPr>
              <w:t>Keempat</w:t>
            </w:r>
            <w:r w:rsidR="00CD02DF" w:rsidRPr="00517E4A">
              <w:rPr>
                <w:rFonts w:cs="Arial"/>
                <w:sz w:val="24"/>
                <w:szCs w:val="24"/>
                <w:lang w:val="id-ID"/>
              </w:rPr>
              <w:t xml:space="preserve">, posisi kampus Universitas Jambi yang relatif berada di kawasan perkotaan memudahkan aksesibilitas mahasiswa yang memenuhi beragam kebutuhan sehari-hari saat berkuliah di kampus ini. </w:t>
            </w:r>
          </w:p>
        </w:tc>
      </w:tr>
    </w:tbl>
    <w:p w:rsidR="00273417" w:rsidRPr="00A46681" w:rsidRDefault="00273417" w:rsidP="00273417">
      <w:pPr>
        <w:jc w:val="left"/>
        <w:rPr>
          <w:szCs w:val="22"/>
        </w:rPr>
      </w:pPr>
    </w:p>
    <w:p w:rsidR="00E9360E" w:rsidRDefault="00E9360E" w:rsidP="00292DC0">
      <w:pPr>
        <w:ind w:left="720" w:hanging="720"/>
        <w:rPr>
          <w:sz w:val="24"/>
          <w:szCs w:val="24"/>
          <w:lang w:val="id-ID"/>
        </w:rPr>
      </w:pPr>
    </w:p>
    <w:p w:rsidR="00E9360E" w:rsidRDefault="00E9360E" w:rsidP="00292DC0">
      <w:pPr>
        <w:ind w:left="720" w:hanging="720"/>
        <w:rPr>
          <w:sz w:val="24"/>
          <w:szCs w:val="24"/>
          <w:lang w:val="id-ID"/>
        </w:rPr>
      </w:pPr>
    </w:p>
    <w:p w:rsidR="00E9360E" w:rsidRDefault="00E9360E" w:rsidP="00E9360E">
      <w:pPr>
        <w:rPr>
          <w:sz w:val="24"/>
          <w:szCs w:val="24"/>
          <w:lang w:val="id-ID"/>
        </w:rPr>
      </w:pPr>
    </w:p>
    <w:p w:rsidR="00E9360E" w:rsidRDefault="00E9360E" w:rsidP="00E9360E">
      <w:pPr>
        <w:rPr>
          <w:sz w:val="24"/>
          <w:szCs w:val="24"/>
          <w:lang w:val="id-ID"/>
        </w:rPr>
      </w:pPr>
    </w:p>
    <w:p w:rsidR="00E9360E" w:rsidRDefault="00E9360E" w:rsidP="00E9360E">
      <w:pPr>
        <w:rPr>
          <w:sz w:val="24"/>
          <w:szCs w:val="24"/>
          <w:lang w:val="id-ID"/>
        </w:rPr>
      </w:pPr>
    </w:p>
    <w:p w:rsidR="00E9360E" w:rsidRDefault="00E9360E" w:rsidP="00E9360E">
      <w:pPr>
        <w:rPr>
          <w:sz w:val="24"/>
          <w:szCs w:val="24"/>
          <w:lang w:val="id-ID"/>
        </w:rPr>
      </w:pPr>
    </w:p>
    <w:p w:rsidR="00E9360E" w:rsidRDefault="00E9360E" w:rsidP="00E9360E">
      <w:pPr>
        <w:rPr>
          <w:sz w:val="24"/>
          <w:szCs w:val="24"/>
          <w:lang w:val="id-ID"/>
        </w:rPr>
      </w:pPr>
    </w:p>
    <w:p w:rsidR="00E9360E" w:rsidRDefault="00E9360E" w:rsidP="00E9360E">
      <w:pPr>
        <w:rPr>
          <w:sz w:val="24"/>
          <w:szCs w:val="24"/>
          <w:lang w:val="id-ID"/>
        </w:rPr>
      </w:pPr>
    </w:p>
    <w:p w:rsidR="00E9360E" w:rsidRDefault="00E9360E" w:rsidP="00E9360E">
      <w:pPr>
        <w:rPr>
          <w:sz w:val="24"/>
          <w:szCs w:val="24"/>
          <w:lang w:val="id-ID"/>
        </w:rPr>
      </w:pPr>
    </w:p>
    <w:p w:rsidR="00E9360E" w:rsidRDefault="00E9360E" w:rsidP="00E9360E">
      <w:pPr>
        <w:rPr>
          <w:sz w:val="24"/>
          <w:szCs w:val="24"/>
          <w:lang w:val="id-ID"/>
        </w:rPr>
      </w:pPr>
    </w:p>
    <w:p w:rsidR="00E9360E" w:rsidRDefault="00E9360E" w:rsidP="00292DC0">
      <w:pPr>
        <w:ind w:left="720" w:hanging="720"/>
        <w:rPr>
          <w:sz w:val="24"/>
          <w:szCs w:val="24"/>
          <w:lang w:val="id-ID"/>
        </w:rPr>
      </w:pPr>
    </w:p>
    <w:p w:rsidR="00E9360E" w:rsidRDefault="00E9360E" w:rsidP="00292DC0">
      <w:pPr>
        <w:ind w:left="720" w:hanging="720"/>
        <w:rPr>
          <w:sz w:val="24"/>
          <w:szCs w:val="24"/>
          <w:lang w:val="id-ID"/>
        </w:rPr>
      </w:pPr>
    </w:p>
    <w:p w:rsidR="00273417" w:rsidRPr="00E9360E" w:rsidRDefault="00273417" w:rsidP="00292DC0">
      <w:pPr>
        <w:ind w:left="720" w:hanging="720"/>
        <w:rPr>
          <w:sz w:val="24"/>
          <w:szCs w:val="24"/>
        </w:rPr>
      </w:pPr>
      <w:r w:rsidRPr="00E9360E">
        <w:rPr>
          <w:sz w:val="24"/>
          <w:szCs w:val="24"/>
        </w:rPr>
        <w:t>3. 1.2  Tuliskan data mahasiswa reguler dan mahasiswa transfer untuk masing-masing program studi S1 pada T</w:t>
      </w:r>
      <w:bookmarkStart w:id="0" w:name="_GoBack"/>
      <w:bookmarkEnd w:id="0"/>
      <w:r w:rsidRPr="00E9360E">
        <w:rPr>
          <w:sz w:val="24"/>
          <w:szCs w:val="24"/>
        </w:rPr>
        <w:t>S (tahun akademik penuh yang terakhir) di Fakultas/Sekolah Tinggi sesuai dengan mengikuti format tabel berikut:</w:t>
      </w:r>
    </w:p>
    <w:p w:rsidR="00273417" w:rsidRPr="00E9360E" w:rsidRDefault="00273417" w:rsidP="00273417">
      <w:pPr>
        <w:ind w:left="720" w:hanging="720"/>
        <w:jc w:val="left"/>
        <w:rPr>
          <w:sz w:val="24"/>
          <w:szCs w:val="24"/>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
        <w:gridCol w:w="1223"/>
        <w:gridCol w:w="2017"/>
        <w:gridCol w:w="900"/>
        <w:gridCol w:w="990"/>
        <w:gridCol w:w="900"/>
        <w:gridCol w:w="881"/>
        <w:gridCol w:w="1639"/>
      </w:tblGrid>
      <w:tr w:rsidR="00A46681" w:rsidRPr="00E9360E" w:rsidTr="004A128B">
        <w:trPr>
          <w:cantSplit/>
        </w:trPr>
        <w:tc>
          <w:tcPr>
            <w:tcW w:w="630" w:type="dxa"/>
            <w:vMerge w:val="restart"/>
            <w:tcBorders>
              <w:top w:val="single" w:sz="4" w:space="0" w:color="auto"/>
              <w:left w:val="single" w:sz="4" w:space="0" w:color="auto"/>
              <w:bottom w:val="single" w:sz="4" w:space="0" w:color="auto"/>
              <w:right w:val="single" w:sz="4" w:space="0" w:color="auto"/>
            </w:tcBorders>
            <w:shd w:val="pct25" w:color="auto" w:fill="auto"/>
            <w:vAlign w:val="center"/>
          </w:tcPr>
          <w:p w:rsidR="00273417" w:rsidRPr="00E9360E" w:rsidRDefault="00273417" w:rsidP="004A128B">
            <w:pPr>
              <w:jc w:val="center"/>
              <w:rPr>
                <w:b/>
                <w:bCs/>
                <w:sz w:val="24"/>
                <w:szCs w:val="24"/>
              </w:rPr>
            </w:pPr>
            <w:r w:rsidRPr="00E9360E">
              <w:rPr>
                <w:b/>
                <w:bCs/>
                <w:sz w:val="24"/>
                <w:szCs w:val="24"/>
              </w:rPr>
              <w:t>No.</w:t>
            </w:r>
          </w:p>
        </w:tc>
        <w:tc>
          <w:tcPr>
            <w:tcW w:w="3240" w:type="dxa"/>
            <w:gridSpan w:val="2"/>
            <w:vMerge w:val="restart"/>
            <w:tcBorders>
              <w:top w:val="single" w:sz="4" w:space="0" w:color="auto"/>
              <w:left w:val="single" w:sz="4" w:space="0" w:color="auto"/>
              <w:bottom w:val="single" w:sz="4" w:space="0" w:color="auto"/>
              <w:right w:val="single" w:sz="4" w:space="0" w:color="auto"/>
            </w:tcBorders>
            <w:shd w:val="pct25" w:color="auto" w:fill="auto"/>
            <w:vAlign w:val="center"/>
          </w:tcPr>
          <w:p w:rsidR="00273417" w:rsidRPr="00E9360E" w:rsidRDefault="00273417" w:rsidP="004A128B">
            <w:pPr>
              <w:jc w:val="center"/>
              <w:rPr>
                <w:b/>
                <w:bCs/>
                <w:sz w:val="24"/>
                <w:szCs w:val="24"/>
              </w:rPr>
            </w:pPr>
            <w:r w:rsidRPr="00E9360E">
              <w:rPr>
                <w:b/>
                <w:bCs/>
                <w:sz w:val="24"/>
                <w:szCs w:val="24"/>
              </w:rPr>
              <w:t>Hal</w:t>
            </w:r>
          </w:p>
        </w:tc>
        <w:tc>
          <w:tcPr>
            <w:tcW w:w="3671" w:type="dxa"/>
            <w:gridSpan w:val="4"/>
            <w:tcBorders>
              <w:top w:val="single" w:sz="4" w:space="0" w:color="auto"/>
              <w:left w:val="single" w:sz="4" w:space="0" w:color="auto"/>
              <w:bottom w:val="single" w:sz="4" w:space="0" w:color="auto"/>
              <w:right w:val="single" w:sz="4" w:space="0" w:color="auto"/>
            </w:tcBorders>
            <w:shd w:val="pct25" w:color="auto" w:fill="auto"/>
            <w:vAlign w:val="center"/>
          </w:tcPr>
          <w:p w:rsidR="00273417" w:rsidRPr="00E9360E" w:rsidRDefault="00273417" w:rsidP="004A128B">
            <w:pPr>
              <w:jc w:val="center"/>
              <w:rPr>
                <w:b/>
                <w:bCs/>
                <w:sz w:val="24"/>
                <w:szCs w:val="24"/>
                <w:lang w:val="pl-PL"/>
              </w:rPr>
            </w:pPr>
            <w:r w:rsidRPr="00E9360E">
              <w:rPr>
                <w:b/>
                <w:bCs/>
                <w:sz w:val="24"/>
                <w:szCs w:val="24"/>
                <w:lang w:val="pl-PL"/>
              </w:rPr>
              <w:t>Jumlah Mahasiswa pada PS:</w:t>
            </w:r>
          </w:p>
        </w:tc>
        <w:tc>
          <w:tcPr>
            <w:tcW w:w="1639" w:type="dxa"/>
            <w:vMerge w:val="restart"/>
            <w:tcBorders>
              <w:top w:val="single" w:sz="4" w:space="0" w:color="auto"/>
              <w:left w:val="single" w:sz="4" w:space="0" w:color="auto"/>
              <w:bottom w:val="single" w:sz="4" w:space="0" w:color="auto"/>
              <w:right w:val="single" w:sz="4" w:space="0" w:color="auto"/>
            </w:tcBorders>
            <w:shd w:val="pct25" w:color="auto" w:fill="auto"/>
            <w:vAlign w:val="center"/>
          </w:tcPr>
          <w:p w:rsidR="00273417" w:rsidRPr="00E9360E" w:rsidRDefault="00273417" w:rsidP="004A128B">
            <w:pPr>
              <w:jc w:val="center"/>
              <w:rPr>
                <w:b/>
                <w:bCs/>
                <w:sz w:val="24"/>
                <w:szCs w:val="24"/>
              </w:rPr>
            </w:pPr>
            <w:r w:rsidRPr="00E9360E">
              <w:rPr>
                <w:b/>
                <w:bCs/>
                <w:sz w:val="24"/>
                <w:szCs w:val="24"/>
              </w:rPr>
              <w:t>Total Mahasiswa</w:t>
            </w:r>
          </w:p>
          <w:p w:rsidR="00273417" w:rsidRPr="00E9360E" w:rsidRDefault="00273417" w:rsidP="004A128B">
            <w:pPr>
              <w:jc w:val="center"/>
              <w:rPr>
                <w:b/>
                <w:bCs/>
                <w:sz w:val="24"/>
                <w:szCs w:val="24"/>
              </w:rPr>
            </w:pPr>
            <w:r w:rsidRPr="00E9360E">
              <w:rPr>
                <w:b/>
                <w:bCs/>
                <w:sz w:val="24"/>
                <w:szCs w:val="24"/>
              </w:rPr>
              <w:t>pada Fakultas</w:t>
            </w:r>
          </w:p>
        </w:tc>
      </w:tr>
      <w:tr w:rsidR="00A46681" w:rsidRPr="00E9360E" w:rsidTr="004A128B">
        <w:trPr>
          <w:cantSplit/>
          <w:trHeight w:val="455"/>
        </w:trPr>
        <w:tc>
          <w:tcPr>
            <w:tcW w:w="630" w:type="dxa"/>
            <w:vMerge/>
            <w:tcBorders>
              <w:top w:val="single" w:sz="4" w:space="0" w:color="auto"/>
              <w:left w:val="single" w:sz="4" w:space="0" w:color="auto"/>
              <w:bottom w:val="double" w:sz="4" w:space="0" w:color="auto"/>
              <w:right w:val="single" w:sz="4" w:space="0" w:color="auto"/>
            </w:tcBorders>
            <w:vAlign w:val="center"/>
          </w:tcPr>
          <w:p w:rsidR="00273417" w:rsidRPr="00E9360E" w:rsidRDefault="00273417" w:rsidP="004A128B">
            <w:pPr>
              <w:jc w:val="center"/>
              <w:rPr>
                <w:b/>
                <w:bCs/>
                <w:sz w:val="24"/>
                <w:szCs w:val="24"/>
              </w:rPr>
            </w:pPr>
          </w:p>
        </w:tc>
        <w:tc>
          <w:tcPr>
            <w:tcW w:w="3240" w:type="dxa"/>
            <w:gridSpan w:val="2"/>
            <w:vMerge/>
            <w:tcBorders>
              <w:top w:val="single" w:sz="4" w:space="0" w:color="auto"/>
              <w:left w:val="single" w:sz="4" w:space="0" w:color="auto"/>
              <w:bottom w:val="double" w:sz="4" w:space="0" w:color="auto"/>
              <w:right w:val="single" w:sz="4" w:space="0" w:color="auto"/>
            </w:tcBorders>
            <w:vAlign w:val="center"/>
          </w:tcPr>
          <w:p w:rsidR="00273417" w:rsidRPr="00E9360E" w:rsidRDefault="00273417" w:rsidP="004A128B">
            <w:pPr>
              <w:jc w:val="center"/>
              <w:rPr>
                <w:b/>
                <w:bCs/>
                <w:sz w:val="24"/>
                <w:szCs w:val="24"/>
              </w:rPr>
            </w:pPr>
          </w:p>
        </w:tc>
        <w:tc>
          <w:tcPr>
            <w:tcW w:w="900" w:type="dxa"/>
            <w:tcBorders>
              <w:top w:val="single" w:sz="4" w:space="0" w:color="auto"/>
              <w:left w:val="single" w:sz="4" w:space="0" w:color="auto"/>
              <w:bottom w:val="double" w:sz="4" w:space="0" w:color="auto"/>
              <w:right w:val="single" w:sz="4" w:space="0" w:color="auto"/>
            </w:tcBorders>
            <w:shd w:val="pct25" w:color="auto" w:fill="auto"/>
            <w:vAlign w:val="center"/>
          </w:tcPr>
          <w:p w:rsidR="00273417" w:rsidRPr="00E9360E" w:rsidRDefault="0058179A" w:rsidP="004A128B">
            <w:pPr>
              <w:jc w:val="center"/>
              <w:rPr>
                <w:b/>
                <w:bCs/>
                <w:sz w:val="24"/>
                <w:szCs w:val="24"/>
                <w:lang w:val="id-ID"/>
              </w:rPr>
            </w:pPr>
            <w:r w:rsidRPr="00E9360E">
              <w:rPr>
                <w:b/>
                <w:bCs/>
                <w:sz w:val="24"/>
                <w:szCs w:val="24"/>
                <w:lang w:val="id-ID"/>
              </w:rPr>
              <w:t>TS</w:t>
            </w:r>
          </w:p>
          <w:p w:rsidR="00273417" w:rsidRPr="00E9360E" w:rsidRDefault="0058179A" w:rsidP="004A128B">
            <w:pPr>
              <w:jc w:val="center"/>
              <w:rPr>
                <w:b/>
                <w:bCs/>
                <w:sz w:val="24"/>
                <w:szCs w:val="24"/>
              </w:rPr>
            </w:pPr>
            <w:r w:rsidRPr="00E9360E">
              <w:rPr>
                <w:b/>
                <w:bCs/>
                <w:sz w:val="24"/>
                <w:szCs w:val="24"/>
                <w:lang w:val="id-ID"/>
              </w:rPr>
              <w:t>2016</w:t>
            </w:r>
            <w:r w:rsidR="00273417" w:rsidRPr="00E9360E">
              <w:rPr>
                <w:b/>
                <w:bCs/>
                <w:sz w:val="24"/>
                <w:szCs w:val="24"/>
              </w:rPr>
              <w:t xml:space="preserve"> </w:t>
            </w:r>
          </w:p>
        </w:tc>
        <w:tc>
          <w:tcPr>
            <w:tcW w:w="990" w:type="dxa"/>
            <w:tcBorders>
              <w:top w:val="single" w:sz="4" w:space="0" w:color="auto"/>
              <w:left w:val="single" w:sz="4" w:space="0" w:color="auto"/>
              <w:bottom w:val="double" w:sz="4" w:space="0" w:color="auto"/>
              <w:right w:val="single" w:sz="4" w:space="0" w:color="auto"/>
            </w:tcBorders>
            <w:shd w:val="pct25" w:color="auto" w:fill="auto"/>
            <w:vAlign w:val="center"/>
          </w:tcPr>
          <w:p w:rsidR="00273417" w:rsidRPr="00E9360E" w:rsidRDefault="0058179A" w:rsidP="004A128B">
            <w:pPr>
              <w:jc w:val="center"/>
              <w:rPr>
                <w:b/>
                <w:bCs/>
                <w:sz w:val="24"/>
                <w:szCs w:val="24"/>
                <w:lang w:val="id-ID"/>
              </w:rPr>
            </w:pPr>
            <w:r w:rsidRPr="00E9360E">
              <w:rPr>
                <w:b/>
                <w:bCs/>
                <w:sz w:val="24"/>
                <w:szCs w:val="24"/>
                <w:lang w:val="id-ID"/>
              </w:rPr>
              <w:t>TS-1</w:t>
            </w:r>
          </w:p>
          <w:p w:rsidR="00273417" w:rsidRPr="00E9360E" w:rsidRDefault="0058179A" w:rsidP="004A128B">
            <w:pPr>
              <w:jc w:val="center"/>
              <w:rPr>
                <w:b/>
                <w:bCs/>
                <w:sz w:val="24"/>
                <w:szCs w:val="24"/>
                <w:lang w:val="id-ID"/>
              </w:rPr>
            </w:pPr>
            <w:r w:rsidRPr="00E9360E">
              <w:rPr>
                <w:b/>
                <w:bCs/>
                <w:sz w:val="24"/>
                <w:szCs w:val="24"/>
                <w:lang w:val="id-ID"/>
              </w:rPr>
              <w:t>2015</w:t>
            </w:r>
          </w:p>
        </w:tc>
        <w:tc>
          <w:tcPr>
            <w:tcW w:w="900" w:type="dxa"/>
            <w:tcBorders>
              <w:top w:val="single" w:sz="4" w:space="0" w:color="auto"/>
              <w:left w:val="single" w:sz="4" w:space="0" w:color="auto"/>
              <w:bottom w:val="double" w:sz="4" w:space="0" w:color="auto"/>
              <w:right w:val="single" w:sz="4" w:space="0" w:color="auto"/>
            </w:tcBorders>
            <w:shd w:val="pct25" w:color="auto" w:fill="auto"/>
            <w:vAlign w:val="center"/>
          </w:tcPr>
          <w:p w:rsidR="00273417" w:rsidRPr="00E9360E" w:rsidRDefault="0058179A" w:rsidP="004A128B">
            <w:pPr>
              <w:jc w:val="center"/>
              <w:rPr>
                <w:b/>
                <w:bCs/>
                <w:sz w:val="24"/>
                <w:szCs w:val="24"/>
                <w:lang w:val="id-ID"/>
              </w:rPr>
            </w:pPr>
            <w:r w:rsidRPr="00E9360E">
              <w:rPr>
                <w:b/>
                <w:bCs/>
                <w:sz w:val="24"/>
                <w:szCs w:val="24"/>
                <w:lang w:val="id-ID"/>
              </w:rPr>
              <w:t>TS-2</w:t>
            </w:r>
          </w:p>
          <w:p w:rsidR="00273417" w:rsidRPr="00E9360E" w:rsidRDefault="0058179A" w:rsidP="004A128B">
            <w:pPr>
              <w:jc w:val="center"/>
              <w:rPr>
                <w:b/>
                <w:bCs/>
                <w:sz w:val="24"/>
                <w:szCs w:val="24"/>
              </w:rPr>
            </w:pPr>
            <w:r w:rsidRPr="00E9360E">
              <w:rPr>
                <w:b/>
                <w:bCs/>
                <w:sz w:val="24"/>
                <w:szCs w:val="24"/>
                <w:lang w:val="id-ID"/>
              </w:rPr>
              <w:t>2014</w:t>
            </w:r>
            <w:r w:rsidR="00273417" w:rsidRPr="00E9360E">
              <w:rPr>
                <w:b/>
                <w:bCs/>
                <w:sz w:val="24"/>
                <w:szCs w:val="24"/>
              </w:rPr>
              <w:t xml:space="preserve"> </w:t>
            </w:r>
          </w:p>
        </w:tc>
        <w:tc>
          <w:tcPr>
            <w:tcW w:w="881" w:type="dxa"/>
            <w:tcBorders>
              <w:top w:val="single" w:sz="4" w:space="0" w:color="auto"/>
              <w:left w:val="single" w:sz="4" w:space="0" w:color="auto"/>
              <w:bottom w:val="double" w:sz="4" w:space="0" w:color="auto"/>
              <w:right w:val="single" w:sz="4" w:space="0" w:color="auto"/>
            </w:tcBorders>
            <w:shd w:val="pct25" w:color="auto" w:fill="auto"/>
            <w:vAlign w:val="center"/>
          </w:tcPr>
          <w:p w:rsidR="00273417" w:rsidRPr="00E9360E" w:rsidRDefault="0058179A" w:rsidP="004A128B">
            <w:pPr>
              <w:jc w:val="center"/>
              <w:rPr>
                <w:b/>
                <w:bCs/>
                <w:sz w:val="24"/>
                <w:szCs w:val="24"/>
                <w:lang w:val="id-ID"/>
              </w:rPr>
            </w:pPr>
            <w:r w:rsidRPr="00E9360E">
              <w:rPr>
                <w:b/>
                <w:bCs/>
                <w:sz w:val="24"/>
                <w:szCs w:val="24"/>
                <w:lang w:val="id-ID"/>
              </w:rPr>
              <w:t>TS-3</w:t>
            </w:r>
          </w:p>
          <w:p w:rsidR="00273417" w:rsidRPr="00E9360E" w:rsidRDefault="0058179A" w:rsidP="004A128B">
            <w:pPr>
              <w:jc w:val="center"/>
              <w:rPr>
                <w:b/>
                <w:bCs/>
                <w:sz w:val="24"/>
                <w:szCs w:val="24"/>
                <w:lang w:val="id-ID"/>
              </w:rPr>
            </w:pPr>
            <w:r w:rsidRPr="00E9360E">
              <w:rPr>
                <w:b/>
                <w:bCs/>
                <w:sz w:val="24"/>
                <w:szCs w:val="24"/>
                <w:lang w:val="id-ID"/>
              </w:rPr>
              <w:t>2013</w:t>
            </w:r>
          </w:p>
        </w:tc>
        <w:tc>
          <w:tcPr>
            <w:tcW w:w="1639" w:type="dxa"/>
            <w:vMerge/>
            <w:tcBorders>
              <w:top w:val="single" w:sz="4" w:space="0" w:color="auto"/>
              <w:left w:val="single" w:sz="4" w:space="0" w:color="auto"/>
              <w:bottom w:val="double" w:sz="4" w:space="0" w:color="auto"/>
              <w:right w:val="single" w:sz="4" w:space="0" w:color="auto"/>
            </w:tcBorders>
            <w:shd w:val="clear" w:color="auto" w:fill="C0C0C0"/>
            <w:vAlign w:val="center"/>
          </w:tcPr>
          <w:p w:rsidR="00273417" w:rsidRPr="00E9360E" w:rsidRDefault="00273417" w:rsidP="004A128B">
            <w:pPr>
              <w:jc w:val="center"/>
              <w:rPr>
                <w:b/>
                <w:bCs/>
                <w:sz w:val="24"/>
                <w:szCs w:val="24"/>
              </w:rPr>
            </w:pPr>
          </w:p>
        </w:tc>
      </w:tr>
      <w:tr w:rsidR="00A46681" w:rsidRPr="00E9360E" w:rsidTr="004A128B">
        <w:tc>
          <w:tcPr>
            <w:tcW w:w="630" w:type="dxa"/>
            <w:tcBorders>
              <w:top w:val="double" w:sz="4" w:space="0" w:color="auto"/>
              <w:left w:val="single" w:sz="4" w:space="0" w:color="auto"/>
              <w:bottom w:val="single" w:sz="4" w:space="0" w:color="auto"/>
              <w:right w:val="single" w:sz="4" w:space="0" w:color="auto"/>
            </w:tcBorders>
            <w:vAlign w:val="center"/>
          </w:tcPr>
          <w:p w:rsidR="00273417" w:rsidRPr="00E9360E" w:rsidRDefault="00273417" w:rsidP="004A128B">
            <w:pPr>
              <w:jc w:val="center"/>
              <w:rPr>
                <w:b/>
                <w:bCs/>
                <w:sz w:val="24"/>
                <w:szCs w:val="24"/>
              </w:rPr>
            </w:pPr>
            <w:r w:rsidRPr="00E9360E">
              <w:rPr>
                <w:b/>
                <w:bCs/>
                <w:sz w:val="24"/>
                <w:szCs w:val="24"/>
              </w:rPr>
              <w:t>(1)</w:t>
            </w:r>
          </w:p>
        </w:tc>
        <w:tc>
          <w:tcPr>
            <w:tcW w:w="1223" w:type="dxa"/>
            <w:tcBorders>
              <w:top w:val="double" w:sz="4" w:space="0" w:color="auto"/>
              <w:left w:val="single" w:sz="4" w:space="0" w:color="auto"/>
              <w:bottom w:val="single" w:sz="4" w:space="0" w:color="auto"/>
              <w:right w:val="single" w:sz="4" w:space="0" w:color="auto"/>
            </w:tcBorders>
            <w:vAlign w:val="center"/>
          </w:tcPr>
          <w:p w:rsidR="00273417" w:rsidRPr="00E9360E" w:rsidRDefault="00273417" w:rsidP="004A128B">
            <w:pPr>
              <w:jc w:val="left"/>
              <w:rPr>
                <w:sz w:val="24"/>
                <w:szCs w:val="24"/>
                <w:lang w:val="nb-NO"/>
              </w:rPr>
            </w:pPr>
            <w:r w:rsidRPr="00E9360E">
              <w:rPr>
                <w:b/>
                <w:bCs/>
                <w:sz w:val="24"/>
                <w:szCs w:val="24"/>
              </w:rPr>
              <w:t>(2)</w:t>
            </w:r>
          </w:p>
        </w:tc>
        <w:tc>
          <w:tcPr>
            <w:tcW w:w="2017" w:type="dxa"/>
            <w:tcBorders>
              <w:top w:val="double" w:sz="4" w:space="0" w:color="auto"/>
              <w:left w:val="single" w:sz="4" w:space="0" w:color="auto"/>
              <w:bottom w:val="single" w:sz="4" w:space="0" w:color="auto"/>
              <w:right w:val="single" w:sz="4" w:space="0" w:color="auto"/>
            </w:tcBorders>
            <w:vAlign w:val="center"/>
          </w:tcPr>
          <w:p w:rsidR="00273417" w:rsidRPr="00E9360E" w:rsidRDefault="00273417" w:rsidP="004A128B">
            <w:pPr>
              <w:jc w:val="center"/>
              <w:rPr>
                <w:b/>
                <w:bCs/>
                <w:sz w:val="24"/>
                <w:szCs w:val="24"/>
              </w:rPr>
            </w:pPr>
            <w:r w:rsidRPr="00E9360E">
              <w:rPr>
                <w:b/>
                <w:bCs/>
                <w:sz w:val="24"/>
                <w:szCs w:val="24"/>
              </w:rPr>
              <w:t>(3)</w:t>
            </w:r>
          </w:p>
        </w:tc>
        <w:tc>
          <w:tcPr>
            <w:tcW w:w="900" w:type="dxa"/>
            <w:tcBorders>
              <w:top w:val="double" w:sz="4" w:space="0" w:color="auto"/>
              <w:left w:val="single" w:sz="4" w:space="0" w:color="auto"/>
              <w:bottom w:val="single" w:sz="4" w:space="0" w:color="auto"/>
              <w:right w:val="single" w:sz="4" w:space="0" w:color="auto"/>
            </w:tcBorders>
            <w:vAlign w:val="center"/>
          </w:tcPr>
          <w:p w:rsidR="00273417" w:rsidRPr="00E9360E" w:rsidRDefault="00273417" w:rsidP="004A128B">
            <w:pPr>
              <w:jc w:val="center"/>
              <w:rPr>
                <w:b/>
                <w:bCs/>
                <w:sz w:val="24"/>
                <w:szCs w:val="24"/>
              </w:rPr>
            </w:pPr>
            <w:r w:rsidRPr="00E9360E">
              <w:rPr>
                <w:b/>
                <w:bCs/>
                <w:sz w:val="24"/>
                <w:szCs w:val="24"/>
              </w:rPr>
              <w:t>(4)</w:t>
            </w:r>
          </w:p>
        </w:tc>
        <w:tc>
          <w:tcPr>
            <w:tcW w:w="990" w:type="dxa"/>
            <w:tcBorders>
              <w:top w:val="double" w:sz="4" w:space="0" w:color="auto"/>
              <w:left w:val="single" w:sz="4" w:space="0" w:color="auto"/>
              <w:bottom w:val="single" w:sz="4" w:space="0" w:color="auto"/>
              <w:right w:val="single" w:sz="4" w:space="0" w:color="auto"/>
            </w:tcBorders>
            <w:vAlign w:val="center"/>
          </w:tcPr>
          <w:p w:rsidR="00273417" w:rsidRPr="00E9360E" w:rsidRDefault="00273417" w:rsidP="004A128B">
            <w:pPr>
              <w:jc w:val="center"/>
              <w:rPr>
                <w:b/>
                <w:bCs/>
                <w:sz w:val="24"/>
                <w:szCs w:val="24"/>
              </w:rPr>
            </w:pPr>
            <w:r w:rsidRPr="00E9360E">
              <w:rPr>
                <w:b/>
                <w:bCs/>
                <w:sz w:val="24"/>
                <w:szCs w:val="24"/>
              </w:rPr>
              <w:t>(5)</w:t>
            </w:r>
          </w:p>
        </w:tc>
        <w:tc>
          <w:tcPr>
            <w:tcW w:w="900" w:type="dxa"/>
            <w:tcBorders>
              <w:top w:val="double" w:sz="4" w:space="0" w:color="auto"/>
              <w:left w:val="single" w:sz="4" w:space="0" w:color="auto"/>
              <w:bottom w:val="single" w:sz="4" w:space="0" w:color="auto"/>
              <w:right w:val="single" w:sz="4" w:space="0" w:color="auto"/>
            </w:tcBorders>
            <w:vAlign w:val="center"/>
          </w:tcPr>
          <w:p w:rsidR="00273417" w:rsidRPr="00E9360E" w:rsidRDefault="00273417" w:rsidP="004A128B">
            <w:pPr>
              <w:jc w:val="center"/>
              <w:rPr>
                <w:b/>
                <w:bCs/>
                <w:sz w:val="24"/>
                <w:szCs w:val="24"/>
              </w:rPr>
            </w:pPr>
            <w:r w:rsidRPr="00E9360E">
              <w:rPr>
                <w:b/>
                <w:bCs/>
                <w:sz w:val="24"/>
                <w:szCs w:val="24"/>
              </w:rPr>
              <w:t>(6)</w:t>
            </w:r>
          </w:p>
        </w:tc>
        <w:tc>
          <w:tcPr>
            <w:tcW w:w="881" w:type="dxa"/>
            <w:tcBorders>
              <w:top w:val="double" w:sz="4" w:space="0" w:color="auto"/>
              <w:left w:val="single" w:sz="4" w:space="0" w:color="auto"/>
              <w:bottom w:val="single" w:sz="4" w:space="0" w:color="auto"/>
              <w:right w:val="single" w:sz="4" w:space="0" w:color="auto"/>
            </w:tcBorders>
            <w:vAlign w:val="center"/>
          </w:tcPr>
          <w:p w:rsidR="00273417" w:rsidRPr="00E9360E" w:rsidRDefault="00273417" w:rsidP="004A128B">
            <w:pPr>
              <w:jc w:val="center"/>
              <w:rPr>
                <w:b/>
                <w:bCs/>
                <w:sz w:val="24"/>
                <w:szCs w:val="24"/>
              </w:rPr>
            </w:pPr>
            <w:r w:rsidRPr="00E9360E">
              <w:rPr>
                <w:b/>
                <w:bCs/>
                <w:sz w:val="24"/>
                <w:szCs w:val="24"/>
              </w:rPr>
              <w:t>(7)</w:t>
            </w:r>
          </w:p>
        </w:tc>
        <w:tc>
          <w:tcPr>
            <w:tcW w:w="1639" w:type="dxa"/>
            <w:tcBorders>
              <w:top w:val="double" w:sz="4" w:space="0" w:color="auto"/>
              <w:left w:val="single" w:sz="4" w:space="0" w:color="auto"/>
              <w:bottom w:val="single" w:sz="4" w:space="0" w:color="auto"/>
              <w:right w:val="single" w:sz="4" w:space="0" w:color="auto"/>
            </w:tcBorders>
            <w:vAlign w:val="center"/>
          </w:tcPr>
          <w:p w:rsidR="00273417" w:rsidRPr="00E9360E" w:rsidRDefault="00273417" w:rsidP="004A128B">
            <w:pPr>
              <w:jc w:val="center"/>
              <w:rPr>
                <w:b/>
                <w:bCs/>
                <w:sz w:val="24"/>
                <w:szCs w:val="24"/>
              </w:rPr>
            </w:pPr>
            <w:r w:rsidRPr="00E9360E">
              <w:rPr>
                <w:b/>
                <w:bCs/>
                <w:sz w:val="24"/>
                <w:szCs w:val="24"/>
              </w:rPr>
              <w:t>(8)</w:t>
            </w:r>
          </w:p>
        </w:tc>
      </w:tr>
      <w:tr w:rsidR="00A46681" w:rsidRPr="00E9360E" w:rsidTr="00106137">
        <w:trPr>
          <w:cantSplit/>
        </w:trPr>
        <w:tc>
          <w:tcPr>
            <w:tcW w:w="630" w:type="dxa"/>
            <w:vMerge w:val="restart"/>
            <w:tcBorders>
              <w:top w:val="single" w:sz="4" w:space="0" w:color="auto"/>
              <w:left w:val="single" w:sz="4" w:space="0" w:color="auto"/>
              <w:bottom w:val="single" w:sz="18" w:space="0" w:color="auto"/>
              <w:right w:val="single" w:sz="4" w:space="0" w:color="auto"/>
            </w:tcBorders>
          </w:tcPr>
          <w:p w:rsidR="00273417" w:rsidRPr="00E9360E" w:rsidRDefault="00273417" w:rsidP="004A128B">
            <w:pPr>
              <w:jc w:val="center"/>
              <w:rPr>
                <w:sz w:val="24"/>
                <w:szCs w:val="24"/>
              </w:rPr>
            </w:pPr>
            <w:r w:rsidRPr="00E9360E">
              <w:rPr>
                <w:sz w:val="24"/>
                <w:szCs w:val="24"/>
              </w:rPr>
              <w:t>1</w:t>
            </w:r>
          </w:p>
        </w:tc>
        <w:tc>
          <w:tcPr>
            <w:tcW w:w="1223" w:type="dxa"/>
            <w:vMerge w:val="restart"/>
            <w:tcBorders>
              <w:top w:val="single" w:sz="4" w:space="0" w:color="auto"/>
              <w:left w:val="single" w:sz="4" w:space="0" w:color="auto"/>
              <w:bottom w:val="single" w:sz="18" w:space="0" w:color="auto"/>
              <w:right w:val="single" w:sz="4" w:space="0" w:color="auto"/>
            </w:tcBorders>
          </w:tcPr>
          <w:p w:rsidR="00273417" w:rsidRPr="00E9360E" w:rsidRDefault="00273417" w:rsidP="004A128B">
            <w:pPr>
              <w:jc w:val="left"/>
              <w:rPr>
                <w:sz w:val="24"/>
                <w:szCs w:val="24"/>
              </w:rPr>
            </w:pPr>
            <w:r w:rsidRPr="00E9360E">
              <w:rPr>
                <w:sz w:val="24"/>
                <w:szCs w:val="24"/>
              </w:rPr>
              <w:t>Program reguler</w:t>
            </w:r>
          </w:p>
        </w:tc>
        <w:tc>
          <w:tcPr>
            <w:tcW w:w="2017" w:type="dxa"/>
            <w:tcBorders>
              <w:top w:val="single" w:sz="4" w:space="0" w:color="auto"/>
              <w:left w:val="single" w:sz="4" w:space="0" w:color="auto"/>
              <w:bottom w:val="single" w:sz="4" w:space="0" w:color="auto"/>
              <w:right w:val="single" w:sz="4" w:space="0" w:color="auto"/>
            </w:tcBorders>
          </w:tcPr>
          <w:p w:rsidR="00273417" w:rsidRPr="00E9360E" w:rsidRDefault="00273417" w:rsidP="004A128B">
            <w:pPr>
              <w:ind w:left="199" w:hanging="199"/>
              <w:jc w:val="left"/>
              <w:rPr>
                <w:sz w:val="24"/>
                <w:szCs w:val="24"/>
              </w:rPr>
            </w:pPr>
            <w:r w:rsidRPr="00E9360E">
              <w:rPr>
                <w:sz w:val="24"/>
                <w:szCs w:val="24"/>
              </w:rPr>
              <w:t>1. Mhs. baru bukan transfer</w:t>
            </w:r>
          </w:p>
        </w:tc>
        <w:tc>
          <w:tcPr>
            <w:tcW w:w="900" w:type="dxa"/>
            <w:tcBorders>
              <w:top w:val="single" w:sz="4" w:space="0" w:color="auto"/>
              <w:left w:val="single" w:sz="4" w:space="0" w:color="auto"/>
              <w:bottom w:val="single" w:sz="4" w:space="0" w:color="auto"/>
              <w:right w:val="single" w:sz="4" w:space="0" w:color="auto"/>
            </w:tcBorders>
            <w:vAlign w:val="center"/>
          </w:tcPr>
          <w:p w:rsidR="00273417" w:rsidRPr="00E9360E" w:rsidRDefault="00371197" w:rsidP="00106137">
            <w:pPr>
              <w:jc w:val="center"/>
              <w:rPr>
                <w:sz w:val="24"/>
                <w:szCs w:val="24"/>
                <w:lang w:val="id-ID"/>
              </w:rPr>
            </w:pPr>
            <w:r>
              <w:rPr>
                <w:sz w:val="24"/>
                <w:szCs w:val="24"/>
                <w:lang w:val="id-ID"/>
              </w:rPr>
              <w:t>238</w:t>
            </w:r>
          </w:p>
        </w:tc>
        <w:tc>
          <w:tcPr>
            <w:tcW w:w="990" w:type="dxa"/>
            <w:tcBorders>
              <w:top w:val="single" w:sz="4" w:space="0" w:color="auto"/>
              <w:left w:val="single" w:sz="4" w:space="0" w:color="auto"/>
              <w:bottom w:val="single" w:sz="4" w:space="0" w:color="auto"/>
              <w:right w:val="single" w:sz="4" w:space="0" w:color="auto"/>
            </w:tcBorders>
            <w:vAlign w:val="center"/>
          </w:tcPr>
          <w:p w:rsidR="00273417" w:rsidRPr="00E9360E" w:rsidRDefault="00952BF1" w:rsidP="00106137">
            <w:pPr>
              <w:jc w:val="center"/>
              <w:rPr>
                <w:sz w:val="24"/>
                <w:szCs w:val="24"/>
                <w:lang w:val="id-ID"/>
              </w:rPr>
            </w:pPr>
            <w:r w:rsidRPr="00E9360E">
              <w:rPr>
                <w:sz w:val="24"/>
                <w:szCs w:val="24"/>
                <w:lang w:val="id-ID"/>
              </w:rPr>
              <w:t>188</w:t>
            </w:r>
          </w:p>
        </w:tc>
        <w:tc>
          <w:tcPr>
            <w:tcW w:w="900" w:type="dxa"/>
            <w:tcBorders>
              <w:top w:val="single" w:sz="4" w:space="0" w:color="auto"/>
              <w:left w:val="single" w:sz="4" w:space="0" w:color="auto"/>
              <w:bottom w:val="single" w:sz="4" w:space="0" w:color="auto"/>
              <w:right w:val="single" w:sz="4" w:space="0" w:color="auto"/>
            </w:tcBorders>
            <w:vAlign w:val="center"/>
          </w:tcPr>
          <w:p w:rsidR="00273417" w:rsidRPr="00E9360E" w:rsidRDefault="00952BF1" w:rsidP="00106137">
            <w:pPr>
              <w:jc w:val="center"/>
              <w:rPr>
                <w:sz w:val="24"/>
                <w:szCs w:val="24"/>
                <w:lang w:val="id-ID"/>
              </w:rPr>
            </w:pPr>
            <w:r w:rsidRPr="00E9360E">
              <w:rPr>
                <w:sz w:val="24"/>
                <w:szCs w:val="24"/>
                <w:lang w:val="id-ID"/>
              </w:rPr>
              <w:t>331</w:t>
            </w:r>
          </w:p>
        </w:tc>
        <w:tc>
          <w:tcPr>
            <w:tcW w:w="881" w:type="dxa"/>
            <w:tcBorders>
              <w:top w:val="single" w:sz="4" w:space="0" w:color="auto"/>
              <w:left w:val="single" w:sz="4" w:space="0" w:color="auto"/>
              <w:bottom w:val="single" w:sz="4" w:space="0" w:color="auto"/>
              <w:right w:val="single" w:sz="4" w:space="0" w:color="auto"/>
            </w:tcBorders>
            <w:vAlign w:val="center"/>
          </w:tcPr>
          <w:p w:rsidR="00273417" w:rsidRPr="00E9360E" w:rsidRDefault="00750B17" w:rsidP="00106137">
            <w:pPr>
              <w:jc w:val="center"/>
              <w:rPr>
                <w:sz w:val="24"/>
                <w:szCs w:val="24"/>
                <w:lang w:val="id-ID"/>
              </w:rPr>
            </w:pPr>
            <w:r>
              <w:rPr>
                <w:sz w:val="24"/>
                <w:szCs w:val="24"/>
                <w:lang w:val="id-ID"/>
              </w:rPr>
              <w:t>105</w:t>
            </w:r>
          </w:p>
        </w:tc>
        <w:tc>
          <w:tcPr>
            <w:tcW w:w="1639" w:type="dxa"/>
            <w:tcBorders>
              <w:top w:val="single" w:sz="4" w:space="0" w:color="auto"/>
              <w:left w:val="single" w:sz="4" w:space="0" w:color="auto"/>
              <w:bottom w:val="single" w:sz="4" w:space="0" w:color="auto"/>
              <w:right w:val="single" w:sz="4" w:space="0" w:color="auto"/>
            </w:tcBorders>
            <w:vAlign w:val="center"/>
          </w:tcPr>
          <w:p w:rsidR="00273417" w:rsidRPr="00E9360E" w:rsidRDefault="00750B17" w:rsidP="00106137">
            <w:pPr>
              <w:jc w:val="center"/>
              <w:rPr>
                <w:sz w:val="24"/>
                <w:szCs w:val="24"/>
                <w:lang w:val="id-ID"/>
              </w:rPr>
            </w:pPr>
            <w:r>
              <w:rPr>
                <w:sz w:val="24"/>
                <w:szCs w:val="24"/>
                <w:lang w:val="id-ID"/>
              </w:rPr>
              <w:t>862</w:t>
            </w:r>
          </w:p>
        </w:tc>
      </w:tr>
      <w:tr w:rsidR="00A46681" w:rsidRPr="00E9360E" w:rsidTr="004A128B">
        <w:trPr>
          <w:cantSplit/>
        </w:trPr>
        <w:tc>
          <w:tcPr>
            <w:tcW w:w="630" w:type="dxa"/>
            <w:vMerge/>
            <w:tcBorders>
              <w:top w:val="single" w:sz="24" w:space="0" w:color="auto"/>
              <w:left w:val="single" w:sz="4" w:space="0" w:color="auto"/>
              <w:bottom w:val="single" w:sz="18" w:space="0" w:color="auto"/>
              <w:right w:val="single" w:sz="4" w:space="0" w:color="auto"/>
            </w:tcBorders>
          </w:tcPr>
          <w:p w:rsidR="00273417" w:rsidRPr="00E9360E" w:rsidRDefault="00273417" w:rsidP="004A128B">
            <w:pPr>
              <w:jc w:val="center"/>
              <w:rPr>
                <w:sz w:val="24"/>
                <w:szCs w:val="24"/>
              </w:rPr>
            </w:pPr>
          </w:p>
        </w:tc>
        <w:tc>
          <w:tcPr>
            <w:tcW w:w="1223" w:type="dxa"/>
            <w:vMerge/>
            <w:tcBorders>
              <w:top w:val="single" w:sz="24" w:space="0" w:color="auto"/>
              <w:left w:val="single" w:sz="4" w:space="0" w:color="auto"/>
              <w:bottom w:val="single" w:sz="18" w:space="0" w:color="auto"/>
              <w:right w:val="single" w:sz="4" w:space="0" w:color="auto"/>
            </w:tcBorders>
          </w:tcPr>
          <w:p w:rsidR="00273417" w:rsidRPr="00E9360E" w:rsidRDefault="00273417" w:rsidP="004A128B">
            <w:pPr>
              <w:jc w:val="left"/>
              <w:rPr>
                <w:sz w:val="24"/>
                <w:szCs w:val="24"/>
              </w:rPr>
            </w:pPr>
          </w:p>
        </w:tc>
        <w:tc>
          <w:tcPr>
            <w:tcW w:w="2017" w:type="dxa"/>
            <w:tcBorders>
              <w:top w:val="single" w:sz="4" w:space="0" w:color="auto"/>
              <w:left w:val="single" w:sz="4" w:space="0" w:color="auto"/>
              <w:bottom w:val="single" w:sz="4" w:space="0" w:color="auto"/>
              <w:right w:val="single" w:sz="4" w:space="0" w:color="auto"/>
            </w:tcBorders>
          </w:tcPr>
          <w:p w:rsidR="00273417" w:rsidRPr="00E9360E" w:rsidRDefault="00273417" w:rsidP="004A128B">
            <w:pPr>
              <w:ind w:left="199" w:hanging="199"/>
              <w:jc w:val="left"/>
              <w:rPr>
                <w:sz w:val="24"/>
                <w:szCs w:val="24"/>
              </w:rPr>
            </w:pPr>
            <w:r w:rsidRPr="00E9360E">
              <w:rPr>
                <w:sz w:val="24"/>
                <w:szCs w:val="24"/>
              </w:rPr>
              <w:t xml:space="preserve">2. Mhs. baru transfer </w:t>
            </w:r>
          </w:p>
        </w:tc>
        <w:tc>
          <w:tcPr>
            <w:tcW w:w="900" w:type="dxa"/>
            <w:tcBorders>
              <w:top w:val="single" w:sz="4" w:space="0" w:color="auto"/>
              <w:left w:val="single" w:sz="4" w:space="0" w:color="auto"/>
              <w:bottom w:val="single" w:sz="4" w:space="0" w:color="auto"/>
              <w:right w:val="single" w:sz="4" w:space="0" w:color="auto"/>
            </w:tcBorders>
          </w:tcPr>
          <w:p w:rsidR="00273417" w:rsidRPr="00E9360E" w:rsidRDefault="00952BF1" w:rsidP="0058179A">
            <w:pPr>
              <w:jc w:val="center"/>
              <w:rPr>
                <w:sz w:val="24"/>
                <w:szCs w:val="24"/>
                <w:lang w:val="id-ID"/>
              </w:rPr>
            </w:pPr>
            <w:r w:rsidRPr="00E9360E">
              <w:rPr>
                <w:sz w:val="24"/>
                <w:szCs w:val="24"/>
                <w:lang w:val="id-ID"/>
              </w:rPr>
              <w:t>-</w:t>
            </w:r>
          </w:p>
        </w:tc>
        <w:tc>
          <w:tcPr>
            <w:tcW w:w="990" w:type="dxa"/>
            <w:tcBorders>
              <w:top w:val="single" w:sz="4" w:space="0" w:color="auto"/>
              <w:left w:val="single" w:sz="4" w:space="0" w:color="auto"/>
              <w:bottom w:val="single" w:sz="4" w:space="0" w:color="auto"/>
              <w:right w:val="single" w:sz="4" w:space="0" w:color="auto"/>
            </w:tcBorders>
          </w:tcPr>
          <w:p w:rsidR="00273417" w:rsidRPr="00E9360E" w:rsidRDefault="00952BF1" w:rsidP="0058179A">
            <w:pPr>
              <w:jc w:val="center"/>
              <w:rPr>
                <w:sz w:val="24"/>
                <w:szCs w:val="24"/>
                <w:lang w:val="id-ID"/>
              </w:rPr>
            </w:pPr>
            <w:r w:rsidRPr="00E9360E">
              <w:rPr>
                <w:sz w:val="24"/>
                <w:szCs w:val="24"/>
                <w:lang w:val="id-ID"/>
              </w:rPr>
              <w:t>-</w:t>
            </w:r>
          </w:p>
        </w:tc>
        <w:tc>
          <w:tcPr>
            <w:tcW w:w="900" w:type="dxa"/>
            <w:tcBorders>
              <w:top w:val="single" w:sz="4" w:space="0" w:color="auto"/>
              <w:left w:val="single" w:sz="4" w:space="0" w:color="auto"/>
              <w:bottom w:val="single" w:sz="4" w:space="0" w:color="auto"/>
              <w:right w:val="single" w:sz="4" w:space="0" w:color="auto"/>
            </w:tcBorders>
          </w:tcPr>
          <w:p w:rsidR="00273417" w:rsidRPr="00E9360E" w:rsidRDefault="00952BF1" w:rsidP="0058179A">
            <w:pPr>
              <w:jc w:val="center"/>
              <w:rPr>
                <w:sz w:val="24"/>
                <w:szCs w:val="24"/>
                <w:lang w:val="id-ID"/>
              </w:rPr>
            </w:pPr>
            <w:r w:rsidRPr="00E9360E">
              <w:rPr>
                <w:sz w:val="24"/>
                <w:szCs w:val="24"/>
                <w:lang w:val="id-ID"/>
              </w:rPr>
              <w:t>-</w:t>
            </w:r>
          </w:p>
        </w:tc>
        <w:tc>
          <w:tcPr>
            <w:tcW w:w="881" w:type="dxa"/>
            <w:tcBorders>
              <w:top w:val="single" w:sz="4" w:space="0" w:color="auto"/>
              <w:left w:val="single" w:sz="4" w:space="0" w:color="auto"/>
              <w:bottom w:val="single" w:sz="4" w:space="0" w:color="auto"/>
              <w:right w:val="single" w:sz="4" w:space="0" w:color="auto"/>
            </w:tcBorders>
          </w:tcPr>
          <w:p w:rsidR="00273417" w:rsidRPr="00E9360E" w:rsidRDefault="00952BF1" w:rsidP="0058179A">
            <w:pPr>
              <w:jc w:val="center"/>
              <w:rPr>
                <w:sz w:val="24"/>
                <w:szCs w:val="24"/>
                <w:lang w:val="id-ID"/>
              </w:rPr>
            </w:pPr>
            <w:r w:rsidRPr="00E9360E">
              <w:rPr>
                <w:sz w:val="24"/>
                <w:szCs w:val="24"/>
                <w:lang w:val="id-ID"/>
              </w:rPr>
              <w:t>-</w:t>
            </w:r>
          </w:p>
        </w:tc>
        <w:tc>
          <w:tcPr>
            <w:tcW w:w="1639" w:type="dxa"/>
            <w:tcBorders>
              <w:top w:val="single" w:sz="4" w:space="0" w:color="auto"/>
              <w:left w:val="single" w:sz="4" w:space="0" w:color="auto"/>
              <w:bottom w:val="single" w:sz="4" w:space="0" w:color="auto"/>
              <w:right w:val="single" w:sz="4" w:space="0" w:color="auto"/>
            </w:tcBorders>
          </w:tcPr>
          <w:p w:rsidR="00273417" w:rsidRPr="00E9360E" w:rsidRDefault="00952BF1" w:rsidP="00952BF1">
            <w:pPr>
              <w:jc w:val="center"/>
              <w:rPr>
                <w:sz w:val="24"/>
                <w:szCs w:val="24"/>
                <w:lang w:val="id-ID"/>
              </w:rPr>
            </w:pPr>
            <w:r w:rsidRPr="00E9360E">
              <w:rPr>
                <w:sz w:val="24"/>
                <w:szCs w:val="24"/>
                <w:lang w:val="id-ID"/>
              </w:rPr>
              <w:t>-</w:t>
            </w:r>
          </w:p>
        </w:tc>
      </w:tr>
      <w:tr w:rsidR="00A46681" w:rsidRPr="00E9360E" w:rsidTr="00106137">
        <w:trPr>
          <w:cantSplit/>
        </w:trPr>
        <w:tc>
          <w:tcPr>
            <w:tcW w:w="630" w:type="dxa"/>
            <w:vMerge/>
            <w:tcBorders>
              <w:top w:val="single" w:sz="24" w:space="0" w:color="auto"/>
              <w:left w:val="single" w:sz="4" w:space="0" w:color="auto"/>
              <w:bottom w:val="single" w:sz="18" w:space="0" w:color="auto"/>
              <w:right w:val="single" w:sz="4" w:space="0" w:color="auto"/>
            </w:tcBorders>
          </w:tcPr>
          <w:p w:rsidR="00273417" w:rsidRPr="00E9360E" w:rsidRDefault="00273417" w:rsidP="004A128B">
            <w:pPr>
              <w:jc w:val="center"/>
              <w:rPr>
                <w:sz w:val="24"/>
                <w:szCs w:val="24"/>
              </w:rPr>
            </w:pPr>
          </w:p>
        </w:tc>
        <w:tc>
          <w:tcPr>
            <w:tcW w:w="1223" w:type="dxa"/>
            <w:vMerge/>
            <w:tcBorders>
              <w:top w:val="single" w:sz="24" w:space="0" w:color="auto"/>
              <w:left w:val="single" w:sz="4" w:space="0" w:color="auto"/>
              <w:bottom w:val="single" w:sz="18" w:space="0" w:color="auto"/>
              <w:right w:val="single" w:sz="4" w:space="0" w:color="auto"/>
            </w:tcBorders>
          </w:tcPr>
          <w:p w:rsidR="00273417" w:rsidRPr="00E9360E" w:rsidRDefault="00273417" w:rsidP="004A128B">
            <w:pPr>
              <w:jc w:val="left"/>
              <w:rPr>
                <w:sz w:val="24"/>
                <w:szCs w:val="24"/>
              </w:rPr>
            </w:pPr>
          </w:p>
        </w:tc>
        <w:tc>
          <w:tcPr>
            <w:tcW w:w="2017" w:type="dxa"/>
            <w:tcBorders>
              <w:top w:val="single" w:sz="4" w:space="0" w:color="auto"/>
              <w:left w:val="single" w:sz="4" w:space="0" w:color="auto"/>
              <w:bottom w:val="single" w:sz="18" w:space="0" w:color="auto"/>
              <w:right w:val="single" w:sz="4" w:space="0" w:color="auto"/>
            </w:tcBorders>
          </w:tcPr>
          <w:p w:rsidR="00273417" w:rsidRPr="00E9360E" w:rsidRDefault="00273417" w:rsidP="004A128B">
            <w:pPr>
              <w:ind w:left="199"/>
              <w:jc w:val="left"/>
              <w:rPr>
                <w:sz w:val="24"/>
                <w:szCs w:val="24"/>
              </w:rPr>
            </w:pPr>
            <w:r w:rsidRPr="00E9360E">
              <w:rPr>
                <w:sz w:val="24"/>
                <w:szCs w:val="24"/>
              </w:rPr>
              <w:t xml:space="preserve">Total mhs. </w:t>
            </w:r>
            <w:r w:rsidR="00917FB5" w:rsidRPr="00E9360E">
              <w:rPr>
                <w:sz w:val="24"/>
                <w:szCs w:val="24"/>
              </w:rPr>
              <w:t>Regular</w:t>
            </w:r>
          </w:p>
        </w:tc>
        <w:tc>
          <w:tcPr>
            <w:tcW w:w="900" w:type="dxa"/>
            <w:tcBorders>
              <w:top w:val="single" w:sz="4" w:space="0" w:color="auto"/>
              <w:left w:val="single" w:sz="4" w:space="0" w:color="auto"/>
              <w:bottom w:val="single" w:sz="18" w:space="0" w:color="auto"/>
              <w:right w:val="single" w:sz="4" w:space="0" w:color="auto"/>
            </w:tcBorders>
            <w:vAlign w:val="center"/>
          </w:tcPr>
          <w:p w:rsidR="00273417" w:rsidRPr="00E9360E" w:rsidRDefault="00371197" w:rsidP="00106137">
            <w:pPr>
              <w:jc w:val="center"/>
              <w:rPr>
                <w:sz w:val="24"/>
                <w:szCs w:val="24"/>
                <w:lang w:val="id-ID"/>
              </w:rPr>
            </w:pPr>
            <w:r>
              <w:rPr>
                <w:sz w:val="24"/>
                <w:szCs w:val="24"/>
                <w:lang w:val="id-ID"/>
              </w:rPr>
              <w:t>238</w:t>
            </w:r>
          </w:p>
        </w:tc>
        <w:tc>
          <w:tcPr>
            <w:tcW w:w="990" w:type="dxa"/>
            <w:tcBorders>
              <w:top w:val="single" w:sz="4" w:space="0" w:color="auto"/>
              <w:left w:val="single" w:sz="4" w:space="0" w:color="auto"/>
              <w:bottom w:val="single" w:sz="18" w:space="0" w:color="auto"/>
              <w:right w:val="single" w:sz="4" w:space="0" w:color="auto"/>
            </w:tcBorders>
            <w:vAlign w:val="center"/>
          </w:tcPr>
          <w:p w:rsidR="00273417" w:rsidRPr="00E9360E" w:rsidRDefault="00952BF1" w:rsidP="00106137">
            <w:pPr>
              <w:jc w:val="center"/>
              <w:rPr>
                <w:sz w:val="24"/>
                <w:szCs w:val="24"/>
                <w:lang w:val="id-ID"/>
              </w:rPr>
            </w:pPr>
            <w:r w:rsidRPr="00E9360E">
              <w:rPr>
                <w:sz w:val="24"/>
                <w:szCs w:val="24"/>
                <w:lang w:val="id-ID"/>
              </w:rPr>
              <w:t>188</w:t>
            </w:r>
          </w:p>
        </w:tc>
        <w:tc>
          <w:tcPr>
            <w:tcW w:w="900" w:type="dxa"/>
            <w:tcBorders>
              <w:top w:val="single" w:sz="4" w:space="0" w:color="auto"/>
              <w:left w:val="single" w:sz="4" w:space="0" w:color="auto"/>
              <w:bottom w:val="single" w:sz="18" w:space="0" w:color="auto"/>
              <w:right w:val="single" w:sz="4" w:space="0" w:color="auto"/>
            </w:tcBorders>
            <w:vAlign w:val="center"/>
          </w:tcPr>
          <w:p w:rsidR="00273417" w:rsidRPr="00E9360E" w:rsidRDefault="00952BF1" w:rsidP="00106137">
            <w:pPr>
              <w:jc w:val="center"/>
              <w:rPr>
                <w:sz w:val="24"/>
                <w:szCs w:val="24"/>
                <w:lang w:val="id-ID"/>
              </w:rPr>
            </w:pPr>
            <w:r w:rsidRPr="00E9360E">
              <w:rPr>
                <w:sz w:val="24"/>
                <w:szCs w:val="24"/>
                <w:lang w:val="id-ID"/>
              </w:rPr>
              <w:t>331</w:t>
            </w:r>
          </w:p>
        </w:tc>
        <w:tc>
          <w:tcPr>
            <w:tcW w:w="881" w:type="dxa"/>
            <w:tcBorders>
              <w:top w:val="single" w:sz="4" w:space="0" w:color="auto"/>
              <w:left w:val="single" w:sz="4" w:space="0" w:color="auto"/>
              <w:bottom w:val="single" w:sz="18" w:space="0" w:color="auto"/>
              <w:right w:val="single" w:sz="4" w:space="0" w:color="auto"/>
            </w:tcBorders>
            <w:vAlign w:val="center"/>
          </w:tcPr>
          <w:p w:rsidR="00273417" w:rsidRPr="00E9360E" w:rsidRDefault="00750B17" w:rsidP="00106137">
            <w:pPr>
              <w:jc w:val="center"/>
              <w:rPr>
                <w:sz w:val="24"/>
                <w:szCs w:val="24"/>
                <w:lang w:val="id-ID"/>
              </w:rPr>
            </w:pPr>
            <w:r>
              <w:rPr>
                <w:sz w:val="24"/>
                <w:szCs w:val="24"/>
                <w:lang w:val="id-ID"/>
              </w:rPr>
              <w:t>105</w:t>
            </w:r>
          </w:p>
        </w:tc>
        <w:tc>
          <w:tcPr>
            <w:tcW w:w="1639" w:type="dxa"/>
            <w:tcBorders>
              <w:top w:val="single" w:sz="4" w:space="0" w:color="auto"/>
              <w:left w:val="single" w:sz="4" w:space="0" w:color="auto"/>
              <w:bottom w:val="single" w:sz="18" w:space="0" w:color="auto"/>
              <w:right w:val="single" w:sz="4" w:space="0" w:color="auto"/>
            </w:tcBorders>
            <w:vAlign w:val="center"/>
          </w:tcPr>
          <w:p w:rsidR="00273417" w:rsidRPr="00E9360E" w:rsidRDefault="00750B17" w:rsidP="00106137">
            <w:pPr>
              <w:jc w:val="center"/>
              <w:rPr>
                <w:sz w:val="24"/>
                <w:szCs w:val="24"/>
                <w:lang w:val="id-ID"/>
              </w:rPr>
            </w:pPr>
            <w:r>
              <w:rPr>
                <w:sz w:val="24"/>
                <w:szCs w:val="24"/>
                <w:lang w:val="id-ID"/>
              </w:rPr>
              <w:t>862</w:t>
            </w:r>
          </w:p>
        </w:tc>
      </w:tr>
      <w:tr w:rsidR="00A46681" w:rsidRPr="00E9360E" w:rsidTr="004A128B">
        <w:trPr>
          <w:cantSplit/>
        </w:trPr>
        <w:tc>
          <w:tcPr>
            <w:tcW w:w="630" w:type="dxa"/>
            <w:vMerge w:val="restart"/>
            <w:tcBorders>
              <w:top w:val="single" w:sz="18" w:space="0" w:color="auto"/>
              <w:left w:val="single" w:sz="4" w:space="0" w:color="auto"/>
              <w:bottom w:val="single" w:sz="4" w:space="0" w:color="auto"/>
              <w:right w:val="single" w:sz="4" w:space="0" w:color="auto"/>
            </w:tcBorders>
          </w:tcPr>
          <w:p w:rsidR="00273417" w:rsidRPr="00E9360E" w:rsidRDefault="00273417" w:rsidP="004A128B">
            <w:pPr>
              <w:jc w:val="center"/>
              <w:rPr>
                <w:sz w:val="24"/>
                <w:szCs w:val="24"/>
              </w:rPr>
            </w:pPr>
            <w:r w:rsidRPr="00E9360E">
              <w:rPr>
                <w:sz w:val="24"/>
                <w:szCs w:val="24"/>
              </w:rPr>
              <w:t>2</w:t>
            </w:r>
          </w:p>
        </w:tc>
        <w:tc>
          <w:tcPr>
            <w:tcW w:w="1223" w:type="dxa"/>
            <w:vMerge w:val="restart"/>
            <w:tcBorders>
              <w:top w:val="single" w:sz="18" w:space="0" w:color="auto"/>
              <w:left w:val="single" w:sz="4" w:space="0" w:color="auto"/>
              <w:bottom w:val="single" w:sz="4" w:space="0" w:color="auto"/>
              <w:right w:val="single" w:sz="4" w:space="0" w:color="auto"/>
            </w:tcBorders>
          </w:tcPr>
          <w:p w:rsidR="00273417" w:rsidRPr="00E9360E" w:rsidRDefault="00273417" w:rsidP="004A128B">
            <w:pPr>
              <w:jc w:val="left"/>
              <w:rPr>
                <w:sz w:val="24"/>
                <w:szCs w:val="24"/>
              </w:rPr>
            </w:pPr>
            <w:r w:rsidRPr="00E9360E">
              <w:rPr>
                <w:sz w:val="24"/>
                <w:szCs w:val="24"/>
              </w:rPr>
              <w:t>Program non-reguler</w:t>
            </w:r>
          </w:p>
        </w:tc>
        <w:tc>
          <w:tcPr>
            <w:tcW w:w="2017" w:type="dxa"/>
            <w:tcBorders>
              <w:top w:val="single" w:sz="18" w:space="0" w:color="auto"/>
              <w:left w:val="single" w:sz="4" w:space="0" w:color="auto"/>
              <w:bottom w:val="single" w:sz="4" w:space="0" w:color="auto"/>
              <w:right w:val="single" w:sz="4" w:space="0" w:color="auto"/>
            </w:tcBorders>
          </w:tcPr>
          <w:p w:rsidR="00273417" w:rsidRPr="00E9360E" w:rsidRDefault="00273417" w:rsidP="004A128B">
            <w:pPr>
              <w:ind w:left="199" w:hanging="199"/>
              <w:jc w:val="left"/>
              <w:rPr>
                <w:sz w:val="24"/>
                <w:szCs w:val="24"/>
              </w:rPr>
            </w:pPr>
            <w:r w:rsidRPr="00E9360E">
              <w:rPr>
                <w:sz w:val="24"/>
                <w:szCs w:val="24"/>
              </w:rPr>
              <w:t>1. Mhs. baru bukan transfer</w:t>
            </w:r>
          </w:p>
        </w:tc>
        <w:tc>
          <w:tcPr>
            <w:tcW w:w="900" w:type="dxa"/>
            <w:tcBorders>
              <w:top w:val="single" w:sz="18" w:space="0" w:color="auto"/>
              <w:left w:val="single" w:sz="4" w:space="0" w:color="auto"/>
              <w:bottom w:val="single" w:sz="4" w:space="0" w:color="auto"/>
              <w:right w:val="single" w:sz="4" w:space="0" w:color="auto"/>
            </w:tcBorders>
          </w:tcPr>
          <w:p w:rsidR="00273417" w:rsidRPr="00E9360E" w:rsidRDefault="00952BF1" w:rsidP="00952BF1">
            <w:pPr>
              <w:jc w:val="center"/>
              <w:rPr>
                <w:sz w:val="24"/>
                <w:szCs w:val="24"/>
                <w:lang w:val="id-ID"/>
              </w:rPr>
            </w:pPr>
            <w:r w:rsidRPr="00E9360E">
              <w:rPr>
                <w:sz w:val="24"/>
                <w:szCs w:val="24"/>
                <w:lang w:val="id-ID"/>
              </w:rPr>
              <w:t>-</w:t>
            </w:r>
          </w:p>
        </w:tc>
        <w:tc>
          <w:tcPr>
            <w:tcW w:w="990" w:type="dxa"/>
            <w:tcBorders>
              <w:top w:val="single" w:sz="18" w:space="0" w:color="auto"/>
              <w:left w:val="single" w:sz="4" w:space="0" w:color="auto"/>
              <w:bottom w:val="single" w:sz="4" w:space="0" w:color="auto"/>
              <w:right w:val="single" w:sz="4" w:space="0" w:color="auto"/>
            </w:tcBorders>
          </w:tcPr>
          <w:p w:rsidR="00273417" w:rsidRPr="00E9360E" w:rsidRDefault="00952BF1" w:rsidP="00952BF1">
            <w:pPr>
              <w:jc w:val="center"/>
              <w:rPr>
                <w:sz w:val="24"/>
                <w:szCs w:val="24"/>
                <w:lang w:val="id-ID"/>
              </w:rPr>
            </w:pPr>
            <w:r w:rsidRPr="00E9360E">
              <w:rPr>
                <w:sz w:val="24"/>
                <w:szCs w:val="24"/>
                <w:lang w:val="id-ID"/>
              </w:rPr>
              <w:t>-</w:t>
            </w:r>
          </w:p>
        </w:tc>
        <w:tc>
          <w:tcPr>
            <w:tcW w:w="900" w:type="dxa"/>
            <w:tcBorders>
              <w:top w:val="single" w:sz="18" w:space="0" w:color="auto"/>
              <w:left w:val="single" w:sz="4" w:space="0" w:color="auto"/>
              <w:bottom w:val="single" w:sz="4" w:space="0" w:color="auto"/>
              <w:right w:val="single" w:sz="4" w:space="0" w:color="auto"/>
            </w:tcBorders>
          </w:tcPr>
          <w:p w:rsidR="00273417" w:rsidRPr="00E9360E" w:rsidRDefault="00952BF1" w:rsidP="00952BF1">
            <w:pPr>
              <w:jc w:val="center"/>
              <w:rPr>
                <w:sz w:val="24"/>
                <w:szCs w:val="24"/>
                <w:lang w:val="id-ID"/>
              </w:rPr>
            </w:pPr>
            <w:r w:rsidRPr="00E9360E">
              <w:rPr>
                <w:sz w:val="24"/>
                <w:szCs w:val="24"/>
                <w:lang w:val="id-ID"/>
              </w:rPr>
              <w:t>-</w:t>
            </w:r>
          </w:p>
        </w:tc>
        <w:tc>
          <w:tcPr>
            <w:tcW w:w="881" w:type="dxa"/>
            <w:tcBorders>
              <w:top w:val="single" w:sz="18" w:space="0" w:color="auto"/>
              <w:left w:val="single" w:sz="4" w:space="0" w:color="auto"/>
              <w:bottom w:val="single" w:sz="4" w:space="0" w:color="auto"/>
              <w:right w:val="single" w:sz="4" w:space="0" w:color="auto"/>
            </w:tcBorders>
          </w:tcPr>
          <w:p w:rsidR="00273417" w:rsidRPr="00E9360E" w:rsidRDefault="00952BF1" w:rsidP="00952BF1">
            <w:pPr>
              <w:jc w:val="center"/>
              <w:rPr>
                <w:sz w:val="24"/>
                <w:szCs w:val="24"/>
                <w:lang w:val="id-ID"/>
              </w:rPr>
            </w:pPr>
            <w:r w:rsidRPr="00E9360E">
              <w:rPr>
                <w:sz w:val="24"/>
                <w:szCs w:val="24"/>
                <w:lang w:val="id-ID"/>
              </w:rPr>
              <w:t>-</w:t>
            </w:r>
          </w:p>
        </w:tc>
        <w:tc>
          <w:tcPr>
            <w:tcW w:w="1639" w:type="dxa"/>
            <w:tcBorders>
              <w:top w:val="single" w:sz="18" w:space="0" w:color="auto"/>
              <w:left w:val="single" w:sz="4" w:space="0" w:color="auto"/>
              <w:bottom w:val="single" w:sz="4" w:space="0" w:color="auto"/>
              <w:right w:val="single" w:sz="4" w:space="0" w:color="auto"/>
            </w:tcBorders>
          </w:tcPr>
          <w:p w:rsidR="00273417" w:rsidRPr="00E9360E" w:rsidRDefault="00952BF1" w:rsidP="00952BF1">
            <w:pPr>
              <w:jc w:val="center"/>
              <w:rPr>
                <w:sz w:val="24"/>
                <w:szCs w:val="24"/>
                <w:lang w:val="id-ID"/>
              </w:rPr>
            </w:pPr>
            <w:r w:rsidRPr="00E9360E">
              <w:rPr>
                <w:sz w:val="24"/>
                <w:szCs w:val="24"/>
                <w:lang w:val="id-ID"/>
              </w:rPr>
              <w:t>-</w:t>
            </w:r>
          </w:p>
        </w:tc>
      </w:tr>
      <w:tr w:rsidR="00A46681" w:rsidRPr="00E9360E" w:rsidTr="004A128B">
        <w:trPr>
          <w:cantSplit/>
        </w:trPr>
        <w:tc>
          <w:tcPr>
            <w:tcW w:w="630" w:type="dxa"/>
            <w:vMerge/>
            <w:tcBorders>
              <w:top w:val="single" w:sz="4" w:space="0" w:color="auto"/>
              <w:left w:val="single" w:sz="4" w:space="0" w:color="auto"/>
              <w:bottom w:val="single" w:sz="4" w:space="0" w:color="auto"/>
              <w:right w:val="single" w:sz="4" w:space="0" w:color="auto"/>
            </w:tcBorders>
          </w:tcPr>
          <w:p w:rsidR="00273417" w:rsidRPr="00E9360E" w:rsidRDefault="00273417" w:rsidP="004A128B">
            <w:pPr>
              <w:jc w:val="center"/>
              <w:rPr>
                <w:sz w:val="24"/>
                <w:szCs w:val="24"/>
              </w:rPr>
            </w:pPr>
          </w:p>
        </w:tc>
        <w:tc>
          <w:tcPr>
            <w:tcW w:w="1223" w:type="dxa"/>
            <w:vMerge/>
            <w:tcBorders>
              <w:top w:val="single" w:sz="4" w:space="0" w:color="auto"/>
              <w:left w:val="single" w:sz="4" w:space="0" w:color="auto"/>
              <w:bottom w:val="single" w:sz="4" w:space="0" w:color="auto"/>
              <w:right w:val="single" w:sz="4" w:space="0" w:color="auto"/>
            </w:tcBorders>
          </w:tcPr>
          <w:p w:rsidR="00273417" w:rsidRPr="00E9360E" w:rsidRDefault="00273417" w:rsidP="004A128B">
            <w:pPr>
              <w:jc w:val="left"/>
              <w:rPr>
                <w:sz w:val="24"/>
                <w:szCs w:val="24"/>
              </w:rPr>
            </w:pPr>
          </w:p>
        </w:tc>
        <w:tc>
          <w:tcPr>
            <w:tcW w:w="2017" w:type="dxa"/>
            <w:tcBorders>
              <w:top w:val="single" w:sz="4" w:space="0" w:color="auto"/>
              <w:left w:val="single" w:sz="4" w:space="0" w:color="auto"/>
              <w:bottom w:val="single" w:sz="4" w:space="0" w:color="auto"/>
              <w:right w:val="single" w:sz="4" w:space="0" w:color="auto"/>
            </w:tcBorders>
          </w:tcPr>
          <w:p w:rsidR="00273417" w:rsidRPr="00E9360E" w:rsidRDefault="00273417" w:rsidP="004A128B">
            <w:pPr>
              <w:ind w:left="199" w:hanging="199"/>
              <w:jc w:val="left"/>
              <w:rPr>
                <w:sz w:val="24"/>
                <w:szCs w:val="24"/>
              </w:rPr>
            </w:pPr>
            <w:r w:rsidRPr="00E9360E">
              <w:rPr>
                <w:sz w:val="24"/>
                <w:szCs w:val="24"/>
              </w:rPr>
              <w:t xml:space="preserve">2. Mhs. baru transfer </w:t>
            </w:r>
          </w:p>
        </w:tc>
        <w:tc>
          <w:tcPr>
            <w:tcW w:w="900" w:type="dxa"/>
            <w:tcBorders>
              <w:top w:val="single" w:sz="4" w:space="0" w:color="auto"/>
              <w:left w:val="single" w:sz="4" w:space="0" w:color="auto"/>
              <w:bottom w:val="single" w:sz="4" w:space="0" w:color="auto"/>
              <w:right w:val="single" w:sz="4" w:space="0" w:color="auto"/>
            </w:tcBorders>
          </w:tcPr>
          <w:p w:rsidR="00273417" w:rsidRPr="00E9360E" w:rsidRDefault="00952BF1" w:rsidP="00952BF1">
            <w:pPr>
              <w:jc w:val="center"/>
              <w:rPr>
                <w:sz w:val="24"/>
                <w:szCs w:val="24"/>
                <w:lang w:val="id-ID"/>
              </w:rPr>
            </w:pPr>
            <w:r w:rsidRPr="00E9360E">
              <w:rPr>
                <w:sz w:val="24"/>
                <w:szCs w:val="24"/>
                <w:lang w:val="id-ID"/>
              </w:rPr>
              <w:t>-</w:t>
            </w:r>
          </w:p>
        </w:tc>
        <w:tc>
          <w:tcPr>
            <w:tcW w:w="990" w:type="dxa"/>
            <w:tcBorders>
              <w:top w:val="single" w:sz="4" w:space="0" w:color="auto"/>
              <w:left w:val="single" w:sz="4" w:space="0" w:color="auto"/>
              <w:bottom w:val="single" w:sz="4" w:space="0" w:color="auto"/>
              <w:right w:val="single" w:sz="4" w:space="0" w:color="auto"/>
            </w:tcBorders>
          </w:tcPr>
          <w:p w:rsidR="00273417" w:rsidRPr="00E9360E" w:rsidRDefault="00952BF1" w:rsidP="00952BF1">
            <w:pPr>
              <w:jc w:val="center"/>
              <w:rPr>
                <w:sz w:val="24"/>
                <w:szCs w:val="24"/>
                <w:lang w:val="id-ID"/>
              </w:rPr>
            </w:pPr>
            <w:r w:rsidRPr="00E9360E">
              <w:rPr>
                <w:sz w:val="24"/>
                <w:szCs w:val="24"/>
                <w:lang w:val="id-ID"/>
              </w:rPr>
              <w:t>-</w:t>
            </w:r>
          </w:p>
        </w:tc>
        <w:tc>
          <w:tcPr>
            <w:tcW w:w="900" w:type="dxa"/>
            <w:tcBorders>
              <w:top w:val="single" w:sz="4" w:space="0" w:color="auto"/>
              <w:left w:val="single" w:sz="4" w:space="0" w:color="auto"/>
              <w:bottom w:val="single" w:sz="4" w:space="0" w:color="auto"/>
              <w:right w:val="single" w:sz="4" w:space="0" w:color="auto"/>
            </w:tcBorders>
          </w:tcPr>
          <w:p w:rsidR="00273417" w:rsidRPr="00E9360E" w:rsidRDefault="00952BF1" w:rsidP="00952BF1">
            <w:pPr>
              <w:jc w:val="center"/>
              <w:rPr>
                <w:sz w:val="24"/>
                <w:szCs w:val="24"/>
                <w:lang w:val="id-ID"/>
              </w:rPr>
            </w:pPr>
            <w:r w:rsidRPr="00E9360E">
              <w:rPr>
                <w:sz w:val="24"/>
                <w:szCs w:val="24"/>
                <w:lang w:val="id-ID"/>
              </w:rPr>
              <w:t>-</w:t>
            </w:r>
          </w:p>
        </w:tc>
        <w:tc>
          <w:tcPr>
            <w:tcW w:w="881" w:type="dxa"/>
            <w:tcBorders>
              <w:top w:val="single" w:sz="4" w:space="0" w:color="auto"/>
              <w:left w:val="single" w:sz="4" w:space="0" w:color="auto"/>
              <w:bottom w:val="single" w:sz="4" w:space="0" w:color="auto"/>
              <w:right w:val="single" w:sz="4" w:space="0" w:color="auto"/>
            </w:tcBorders>
          </w:tcPr>
          <w:p w:rsidR="00273417" w:rsidRPr="00E9360E" w:rsidRDefault="00952BF1" w:rsidP="00952BF1">
            <w:pPr>
              <w:jc w:val="center"/>
              <w:rPr>
                <w:sz w:val="24"/>
                <w:szCs w:val="24"/>
                <w:lang w:val="id-ID"/>
              </w:rPr>
            </w:pPr>
            <w:r w:rsidRPr="00E9360E">
              <w:rPr>
                <w:sz w:val="24"/>
                <w:szCs w:val="24"/>
                <w:lang w:val="id-ID"/>
              </w:rPr>
              <w:t>-</w:t>
            </w:r>
          </w:p>
        </w:tc>
        <w:tc>
          <w:tcPr>
            <w:tcW w:w="1639" w:type="dxa"/>
            <w:tcBorders>
              <w:top w:val="single" w:sz="4" w:space="0" w:color="auto"/>
              <w:left w:val="single" w:sz="4" w:space="0" w:color="auto"/>
              <w:bottom w:val="single" w:sz="4" w:space="0" w:color="auto"/>
              <w:right w:val="single" w:sz="4" w:space="0" w:color="auto"/>
            </w:tcBorders>
          </w:tcPr>
          <w:p w:rsidR="00273417" w:rsidRPr="00E9360E" w:rsidRDefault="00952BF1" w:rsidP="00952BF1">
            <w:pPr>
              <w:jc w:val="center"/>
              <w:rPr>
                <w:sz w:val="24"/>
                <w:szCs w:val="24"/>
                <w:lang w:val="id-ID"/>
              </w:rPr>
            </w:pPr>
            <w:r w:rsidRPr="00E9360E">
              <w:rPr>
                <w:sz w:val="24"/>
                <w:szCs w:val="24"/>
                <w:lang w:val="id-ID"/>
              </w:rPr>
              <w:t>-</w:t>
            </w:r>
          </w:p>
        </w:tc>
      </w:tr>
      <w:tr w:rsidR="00A46681" w:rsidRPr="00E9360E" w:rsidTr="004A128B">
        <w:trPr>
          <w:cantSplit/>
        </w:trPr>
        <w:tc>
          <w:tcPr>
            <w:tcW w:w="630" w:type="dxa"/>
            <w:vMerge/>
            <w:tcBorders>
              <w:top w:val="single" w:sz="4" w:space="0" w:color="auto"/>
              <w:left w:val="single" w:sz="4" w:space="0" w:color="auto"/>
              <w:bottom w:val="single" w:sz="4" w:space="0" w:color="auto"/>
              <w:right w:val="single" w:sz="4" w:space="0" w:color="auto"/>
            </w:tcBorders>
          </w:tcPr>
          <w:p w:rsidR="00273417" w:rsidRPr="00E9360E" w:rsidRDefault="00273417" w:rsidP="004A128B">
            <w:pPr>
              <w:jc w:val="center"/>
              <w:rPr>
                <w:sz w:val="24"/>
                <w:szCs w:val="24"/>
              </w:rPr>
            </w:pPr>
          </w:p>
        </w:tc>
        <w:tc>
          <w:tcPr>
            <w:tcW w:w="1223" w:type="dxa"/>
            <w:vMerge/>
            <w:tcBorders>
              <w:top w:val="single" w:sz="4" w:space="0" w:color="auto"/>
              <w:left w:val="single" w:sz="4" w:space="0" w:color="auto"/>
              <w:bottom w:val="single" w:sz="4" w:space="0" w:color="auto"/>
              <w:right w:val="single" w:sz="4" w:space="0" w:color="auto"/>
            </w:tcBorders>
          </w:tcPr>
          <w:p w:rsidR="00273417" w:rsidRPr="00E9360E" w:rsidRDefault="00273417" w:rsidP="004A128B">
            <w:pPr>
              <w:jc w:val="left"/>
              <w:rPr>
                <w:sz w:val="24"/>
                <w:szCs w:val="24"/>
              </w:rPr>
            </w:pPr>
          </w:p>
        </w:tc>
        <w:tc>
          <w:tcPr>
            <w:tcW w:w="2017" w:type="dxa"/>
            <w:tcBorders>
              <w:top w:val="single" w:sz="4" w:space="0" w:color="auto"/>
              <w:left w:val="single" w:sz="4" w:space="0" w:color="auto"/>
              <w:bottom w:val="single" w:sz="4" w:space="0" w:color="auto"/>
              <w:right w:val="single" w:sz="4" w:space="0" w:color="auto"/>
            </w:tcBorders>
          </w:tcPr>
          <w:p w:rsidR="00273417" w:rsidRPr="00E9360E" w:rsidRDefault="00273417" w:rsidP="004A128B">
            <w:pPr>
              <w:ind w:left="199"/>
              <w:jc w:val="left"/>
              <w:rPr>
                <w:sz w:val="24"/>
                <w:szCs w:val="24"/>
              </w:rPr>
            </w:pPr>
            <w:r w:rsidRPr="00E9360E">
              <w:rPr>
                <w:sz w:val="24"/>
                <w:szCs w:val="24"/>
              </w:rPr>
              <w:t>Total mhs. non-reguler</w:t>
            </w:r>
          </w:p>
        </w:tc>
        <w:tc>
          <w:tcPr>
            <w:tcW w:w="900" w:type="dxa"/>
            <w:tcBorders>
              <w:top w:val="single" w:sz="4" w:space="0" w:color="auto"/>
              <w:left w:val="single" w:sz="4" w:space="0" w:color="auto"/>
              <w:bottom w:val="single" w:sz="4" w:space="0" w:color="auto"/>
              <w:right w:val="single" w:sz="4" w:space="0" w:color="auto"/>
            </w:tcBorders>
          </w:tcPr>
          <w:p w:rsidR="00273417" w:rsidRPr="00E9360E" w:rsidRDefault="00952BF1" w:rsidP="00952BF1">
            <w:pPr>
              <w:jc w:val="center"/>
              <w:rPr>
                <w:sz w:val="24"/>
                <w:szCs w:val="24"/>
                <w:lang w:val="id-ID"/>
              </w:rPr>
            </w:pPr>
            <w:r w:rsidRPr="00E9360E">
              <w:rPr>
                <w:sz w:val="24"/>
                <w:szCs w:val="24"/>
                <w:lang w:val="id-ID"/>
              </w:rPr>
              <w:t>-</w:t>
            </w:r>
          </w:p>
        </w:tc>
        <w:tc>
          <w:tcPr>
            <w:tcW w:w="990" w:type="dxa"/>
            <w:tcBorders>
              <w:top w:val="single" w:sz="4" w:space="0" w:color="auto"/>
              <w:left w:val="single" w:sz="4" w:space="0" w:color="auto"/>
              <w:bottom w:val="single" w:sz="4" w:space="0" w:color="auto"/>
              <w:right w:val="single" w:sz="4" w:space="0" w:color="auto"/>
            </w:tcBorders>
          </w:tcPr>
          <w:p w:rsidR="00273417" w:rsidRPr="00E9360E" w:rsidRDefault="00952BF1" w:rsidP="00952BF1">
            <w:pPr>
              <w:jc w:val="center"/>
              <w:rPr>
                <w:sz w:val="24"/>
                <w:szCs w:val="24"/>
                <w:lang w:val="id-ID"/>
              </w:rPr>
            </w:pPr>
            <w:r w:rsidRPr="00E9360E">
              <w:rPr>
                <w:sz w:val="24"/>
                <w:szCs w:val="24"/>
                <w:lang w:val="id-ID"/>
              </w:rPr>
              <w:t>-</w:t>
            </w:r>
          </w:p>
        </w:tc>
        <w:tc>
          <w:tcPr>
            <w:tcW w:w="900" w:type="dxa"/>
            <w:tcBorders>
              <w:top w:val="single" w:sz="4" w:space="0" w:color="auto"/>
              <w:left w:val="single" w:sz="4" w:space="0" w:color="auto"/>
              <w:bottom w:val="single" w:sz="4" w:space="0" w:color="auto"/>
              <w:right w:val="single" w:sz="4" w:space="0" w:color="auto"/>
            </w:tcBorders>
          </w:tcPr>
          <w:p w:rsidR="00273417" w:rsidRPr="00E9360E" w:rsidRDefault="00952BF1" w:rsidP="00952BF1">
            <w:pPr>
              <w:jc w:val="center"/>
              <w:rPr>
                <w:sz w:val="24"/>
                <w:szCs w:val="24"/>
                <w:lang w:val="id-ID"/>
              </w:rPr>
            </w:pPr>
            <w:r w:rsidRPr="00E9360E">
              <w:rPr>
                <w:sz w:val="24"/>
                <w:szCs w:val="24"/>
                <w:lang w:val="id-ID"/>
              </w:rPr>
              <w:t>-</w:t>
            </w:r>
          </w:p>
        </w:tc>
        <w:tc>
          <w:tcPr>
            <w:tcW w:w="881" w:type="dxa"/>
            <w:tcBorders>
              <w:top w:val="single" w:sz="4" w:space="0" w:color="auto"/>
              <w:left w:val="single" w:sz="4" w:space="0" w:color="auto"/>
              <w:bottom w:val="single" w:sz="4" w:space="0" w:color="auto"/>
              <w:right w:val="single" w:sz="4" w:space="0" w:color="auto"/>
            </w:tcBorders>
          </w:tcPr>
          <w:p w:rsidR="00273417" w:rsidRPr="00E9360E" w:rsidRDefault="00952BF1" w:rsidP="00952BF1">
            <w:pPr>
              <w:jc w:val="center"/>
              <w:rPr>
                <w:sz w:val="24"/>
                <w:szCs w:val="24"/>
                <w:lang w:val="id-ID"/>
              </w:rPr>
            </w:pPr>
            <w:r w:rsidRPr="00E9360E">
              <w:rPr>
                <w:sz w:val="24"/>
                <w:szCs w:val="24"/>
                <w:lang w:val="id-ID"/>
              </w:rPr>
              <w:t>-</w:t>
            </w:r>
          </w:p>
        </w:tc>
        <w:tc>
          <w:tcPr>
            <w:tcW w:w="1639" w:type="dxa"/>
            <w:tcBorders>
              <w:top w:val="single" w:sz="4" w:space="0" w:color="auto"/>
              <w:left w:val="single" w:sz="4" w:space="0" w:color="auto"/>
              <w:bottom w:val="single" w:sz="4" w:space="0" w:color="auto"/>
              <w:right w:val="single" w:sz="4" w:space="0" w:color="auto"/>
            </w:tcBorders>
          </w:tcPr>
          <w:p w:rsidR="00273417" w:rsidRPr="00E9360E" w:rsidRDefault="00952BF1" w:rsidP="00952BF1">
            <w:pPr>
              <w:jc w:val="center"/>
              <w:rPr>
                <w:sz w:val="24"/>
                <w:szCs w:val="24"/>
                <w:lang w:val="id-ID"/>
              </w:rPr>
            </w:pPr>
            <w:r w:rsidRPr="00E9360E">
              <w:rPr>
                <w:sz w:val="24"/>
                <w:szCs w:val="24"/>
                <w:lang w:val="id-ID"/>
              </w:rPr>
              <w:t>-</w:t>
            </w:r>
          </w:p>
        </w:tc>
      </w:tr>
    </w:tbl>
    <w:p w:rsidR="00273417" w:rsidRPr="009A4961" w:rsidRDefault="00273417" w:rsidP="00273417">
      <w:pPr>
        <w:ind w:left="1134" w:hanging="774"/>
        <w:rPr>
          <w:szCs w:val="22"/>
          <w:lang w:val="sv-SE"/>
        </w:rPr>
      </w:pPr>
      <w:r w:rsidRPr="009A4961">
        <w:rPr>
          <w:szCs w:val="22"/>
          <w:lang w:val="sv-SE"/>
        </w:rPr>
        <w:t xml:space="preserve">Catatan: </w:t>
      </w:r>
    </w:p>
    <w:p w:rsidR="00273417" w:rsidRPr="009A4961" w:rsidRDefault="009A4961" w:rsidP="00E9360E">
      <w:pPr>
        <w:ind w:left="720" w:hanging="360"/>
        <w:rPr>
          <w:szCs w:val="22"/>
          <w:lang w:val="sv-SE"/>
        </w:rPr>
      </w:pPr>
      <w:r>
        <w:rPr>
          <w:szCs w:val="22"/>
          <w:lang w:val="sv-SE"/>
        </w:rPr>
        <w:t xml:space="preserve">(1) </w:t>
      </w:r>
      <w:r w:rsidR="00273417" w:rsidRPr="009A4961">
        <w:rPr>
          <w:szCs w:val="22"/>
          <w:lang w:val="sv-SE"/>
        </w:rPr>
        <w:t xml:space="preserve">Mahasiswa </w:t>
      </w:r>
      <w:r w:rsidR="00273417" w:rsidRPr="009A4961">
        <w:rPr>
          <w:b/>
          <w:bCs/>
          <w:szCs w:val="22"/>
          <w:lang w:val="sv-SE"/>
        </w:rPr>
        <w:t>program reguler</w:t>
      </w:r>
      <w:r w:rsidR="00273417" w:rsidRPr="009A4961">
        <w:rPr>
          <w:szCs w:val="22"/>
          <w:lang w:val="sv-SE"/>
        </w:rPr>
        <w:t xml:space="preserve"> adalah mahasiswa yang mengikuti program pendidikan secara penuh waktu (baik kelas pagi, siang, sore, malam, dan di seluruh kampus). </w:t>
      </w:r>
    </w:p>
    <w:p w:rsidR="00273417" w:rsidRPr="009A4961" w:rsidRDefault="009A4961" w:rsidP="00E9360E">
      <w:pPr>
        <w:ind w:left="720" w:hanging="360"/>
        <w:rPr>
          <w:szCs w:val="22"/>
          <w:lang w:val="sv-SE"/>
        </w:rPr>
      </w:pPr>
      <w:r w:rsidRPr="009A4961">
        <w:rPr>
          <w:szCs w:val="22"/>
          <w:lang w:val="sv-SE"/>
        </w:rPr>
        <w:t>(2)</w:t>
      </w:r>
      <w:r w:rsidRPr="009A4961">
        <w:rPr>
          <w:szCs w:val="22"/>
          <w:lang w:val="id-ID"/>
        </w:rPr>
        <w:t xml:space="preserve"> </w:t>
      </w:r>
      <w:r w:rsidR="00273417" w:rsidRPr="009A4961">
        <w:rPr>
          <w:szCs w:val="22"/>
          <w:lang w:val="sv-SE"/>
        </w:rPr>
        <w:t xml:space="preserve">Mahasiswa </w:t>
      </w:r>
      <w:r w:rsidR="00273417" w:rsidRPr="009A4961">
        <w:rPr>
          <w:b/>
          <w:bCs/>
          <w:szCs w:val="22"/>
          <w:lang w:val="sv-SE"/>
        </w:rPr>
        <w:t>program non-reguler</w:t>
      </w:r>
      <w:r w:rsidR="00273417" w:rsidRPr="009A4961">
        <w:rPr>
          <w:szCs w:val="22"/>
          <w:lang w:val="sv-SE"/>
        </w:rPr>
        <w:t xml:space="preserve"> adalah mahasiswa yang mengikuti program pendidikan secara paruh waktu. </w:t>
      </w:r>
    </w:p>
    <w:p w:rsidR="00273417" w:rsidRPr="00E9360E" w:rsidRDefault="009A4961" w:rsidP="00E9360E">
      <w:pPr>
        <w:ind w:left="720" w:hanging="360"/>
        <w:rPr>
          <w:sz w:val="24"/>
          <w:szCs w:val="24"/>
          <w:lang w:val="sv-SE"/>
        </w:rPr>
      </w:pPr>
      <w:r w:rsidRPr="009A4961">
        <w:rPr>
          <w:szCs w:val="22"/>
          <w:lang w:val="sv-SE"/>
        </w:rPr>
        <w:t xml:space="preserve">(3) </w:t>
      </w:r>
      <w:r w:rsidR="00273417" w:rsidRPr="009A4961">
        <w:rPr>
          <w:szCs w:val="22"/>
          <w:lang w:val="sv-SE"/>
        </w:rPr>
        <w:t xml:space="preserve">Mahasiswa </w:t>
      </w:r>
      <w:r w:rsidR="00273417" w:rsidRPr="009A4961">
        <w:rPr>
          <w:b/>
          <w:bCs/>
          <w:szCs w:val="22"/>
          <w:lang w:val="sv-SE"/>
        </w:rPr>
        <w:t>transfer</w:t>
      </w:r>
      <w:r w:rsidR="00273417" w:rsidRPr="009A4961">
        <w:rPr>
          <w:szCs w:val="22"/>
          <w:lang w:val="sv-SE"/>
        </w:rPr>
        <w:t xml:space="preserve"> adalah mahasiswa yang masuk ke program studi dengan mentransfer mata kuliah yang telah diperolehnya dari </w:t>
      </w:r>
      <w:r w:rsidR="0058179A" w:rsidRPr="009A4961">
        <w:rPr>
          <w:szCs w:val="22"/>
          <w:lang w:val="id-ID"/>
        </w:rPr>
        <w:t>T</w:t>
      </w:r>
      <w:r w:rsidR="00273417" w:rsidRPr="009A4961">
        <w:rPr>
          <w:szCs w:val="22"/>
          <w:lang w:val="sv-SE"/>
        </w:rPr>
        <w:t>S lain, baik dari dalam PT maupun luar PT.</w:t>
      </w:r>
    </w:p>
    <w:p w:rsidR="00273417" w:rsidRPr="00E9360E" w:rsidRDefault="00273417" w:rsidP="00273417">
      <w:pPr>
        <w:ind w:left="720" w:hanging="360"/>
        <w:rPr>
          <w:sz w:val="24"/>
          <w:szCs w:val="24"/>
          <w:lang w:val="sv-SE"/>
        </w:rPr>
      </w:pPr>
    </w:p>
    <w:p w:rsidR="006E0C64" w:rsidRDefault="006E0C64" w:rsidP="009A4961">
      <w:pPr>
        <w:ind w:left="630" w:hanging="630"/>
        <w:rPr>
          <w:sz w:val="24"/>
          <w:szCs w:val="24"/>
          <w:lang w:val="fi-FI"/>
        </w:rPr>
      </w:pPr>
    </w:p>
    <w:p w:rsidR="006E0C64" w:rsidRDefault="006E0C64" w:rsidP="009A4961">
      <w:pPr>
        <w:ind w:left="630" w:hanging="630"/>
        <w:rPr>
          <w:sz w:val="24"/>
          <w:szCs w:val="24"/>
          <w:lang w:val="fi-FI"/>
        </w:rPr>
      </w:pPr>
    </w:p>
    <w:p w:rsidR="006E0C64" w:rsidRDefault="006E0C64" w:rsidP="009A4961">
      <w:pPr>
        <w:ind w:left="630" w:hanging="630"/>
        <w:rPr>
          <w:sz w:val="24"/>
          <w:szCs w:val="24"/>
          <w:lang w:val="fi-FI"/>
        </w:rPr>
      </w:pPr>
    </w:p>
    <w:p w:rsidR="00273417" w:rsidRPr="00E9360E" w:rsidRDefault="009A4961" w:rsidP="009A4961">
      <w:pPr>
        <w:ind w:left="630" w:hanging="630"/>
        <w:rPr>
          <w:sz w:val="24"/>
          <w:szCs w:val="24"/>
          <w:lang w:val="fi-FI"/>
        </w:rPr>
      </w:pPr>
      <w:r>
        <w:rPr>
          <w:sz w:val="24"/>
          <w:szCs w:val="24"/>
          <w:lang w:val="fi-FI"/>
        </w:rPr>
        <w:t>3.1.3</w:t>
      </w:r>
      <w:r>
        <w:rPr>
          <w:sz w:val="24"/>
          <w:szCs w:val="24"/>
          <w:lang w:val="id-ID"/>
        </w:rPr>
        <w:t xml:space="preserve"> </w:t>
      </w:r>
      <w:r w:rsidR="00273417" w:rsidRPr="00E9360E">
        <w:rPr>
          <w:sz w:val="24"/>
          <w:szCs w:val="24"/>
          <w:lang w:val="fi-FI"/>
        </w:rPr>
        <w:t xml:space="preserve">Uraikan alasan/pertimbangan Fakultas/Sekolah Tinggi dalam menerima mahasiswa transfer.  Jelaskan pula alasan mahasiswa melakukan  transfer. </w:t>
      </w:r>
    </w:p>
    <w:p w:rsidR="00273417" w:rsidRPr="00E9360E" w:rsidRDefault="00273417" w:rsidP="00273417">
      <w:pPr>
        <w:ind w:left="709" w:hanging="709"/>
        <w:jc w:val="left"/>
        <w:rPr>
          <w:sz w:val="24"/>
          <w:szCs w:val="24"/>
          <w:lang w:val="fi-F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34"/>
      </w:tblGrid>
      <w:tr w:rsidR="00A46681" w:rsidRPr="00E9360E" w:rsidTr="004A128B">
        <w:tc>
          <w:tcPr>
            <w:tcW w:w="9175" w:type="dxa"/>
            <w:tcBorders>
              <w:top w:val="single" w:sz="4" w:space="0" w:color="auto"/>
              <w:left w:val="single" w:sz="4" w:space="0" w:color="auto"/>
              <w:bottom w:val="single" w:sz="4" w:space="0" w:color="auto"/>
              <w:right w:val="single" w:sz="4" w:space="0" w:color="auto"/>
            </w:tcBorders>
          </w:tcPr>
          <w:p w:rsidR="00273417" w:rsidRPr="00E9360E" w:rsidRDefault="00273417" w:rsidP="004A128B">
            <w:pPr>
              <w:pStyle w:val="Header"/>
              <w:tabs>
                <w:tab w:val="clear" w:pos="4320"/>
                <w:tab w:val="clear" w:pos="8640"/>
              </w:tabs>
              <w:rPr>
                <w:sz w:val="24"/>
                <w:szCs w:val="24"/>
                <w:lang w:val="fi-FI"/>
              </w:rPr>
            </w:pPr>
            <w:r w:rsidRPr="00E9360E">
              <w:rPr>
                <w:sz w:val="24"/>
                <w:szCs w:val="24"/>
                <w:lang w:val="fi-FI"/>
              </w:rPr>
              <w:tab/>
            </w:r>
          </w:p>
          <w:p w:rsidR="00273417" w:rsidRPr="00E9360E" w:rsidRDefault="00273417" w:rsidP="004A128B">
            <w:pPr>
              <w:pStyle w:val="Header"/>
              <w:tabs>
                <w:tab w:val="clear" w:pos="4320"/>
                <w:tab w:val="clear" w:pos="8640"/>
              </w:tabs>
              <w:rPr>
                <w:sz w:val="24"/>
                <w:szCs w:val="24"/>
                <w:lang w:val="fi-FI"/>
              </w:rPr>
            </w:pPr>
          </w:p>
          <w:p w:rsidR="00273417" w:rsidRPr="00E9360E" w:rsidRDefault="00273417" w:rsidP="004A128B">
            <w:pPr>
              <w:pStyle w:val="Header"/>
              <w:tabs>
                <w:tab w:val="clear" w:pos="4320"/>
                <w:tab w:val="clear" w:pos="8640"/>
              </w:tabs>
              <w:rPr>
                <w:sz w:val="24"/>
                <w:szCs w:val="24"/>
                <w:lang w:val="fi-FI"/>
              </w:rPr>
            </w:pPr>
          </w:p>
          <w:p w:rsidR="00273417" w:rsidRPr="00E9360E" w:rsidRDefault="00273417" w:rsidP="004A128B">
            <w:pPr>
              <w:pStyle w:val="Header"/>
              <w:tabs>
                <w:tab w:val="clear" w:pos="4320"/>
                <w:tab w:val="clear" w:pos="8640"/>
              </w:tabs>
              <w:rPr>
                <w:sz w:val="24"/>
                <w:szCs w:val="24"/>
                <w:lang w:val="fi-FI"/>
              </w:rPr>
            </w:pPr>
          </w:p>
        </w:tc>
      </w:tr>
    </w:tbl>
    <w:p w:rsidR="00273417" w:rsidRPr="00E9360E" w:rsidRDefault="00273417" w:rsidP="00273417">
      <w:pPr>
        <w:jc w:val="left"/>
        <w:rPr>
          <w:sz w:val="24"/>
          <w:szCs w:val="24"/>
          <w:lang w:val="fi-FI"/>
        </w:rPr>
      </w:pPr>
    </w:p>
    <w:p w:rsidR="00273417" w:rsidRPr="00E9360E" w:rsidRDefault="00273417" w:rsidP="00273417">
      <w:pPr>
        <w:jc w:val="left"/>
        <w:rPr>
          <w:sz w:val="24"/>
          <w:szCs w:val="24"/>
          <w:lang w:val="fi-FI"/>
        </w:rPr>
      </w:pPr>
    </w:p>
    <w:p w:rsidR="00273417" w:rsidRDefault="00273417" w:rsidP="00273417">
      <w:pPr>
        <w:jc w:val="left"/>
        <w:rPr>
          <w:sz w:val="24"/>
          <w:szCs w:val="24"/>
          <w:lang w:val="id-ID"/>
        </w:rPr>
      </w:pPr>
    </w:p>
    <w:p w:rsidR="009A4961" w:rsidRDefault="009A4961" w:rsidP="00273417">
      <w:pPr>
        <w:jc w:val="left"/>
        <w:rPr>
          <w:sz w:val="24"/>
          <w:szCs w:val="24"/>
          <w:lang w:val="id-ID"/>
        </w:rPr>
      </w:pPr>
    </w:p>
    <w:p w:rsidR="009A4961" w:rsidRPr="009A4961" w:rsidRDefault="009A4961" w:rsidP="00273417">
      <w:pPr>
        <w:jc w:val="left"/>
        <w:rPr>
          <w:sz w:val="24"/>
          <w:szCs w:val="24"/>
          <w:lang w:val="id-ID"/>
        </w:rPr>
      </w:pPr>
    </w:p>
    <w:p w:rsidR="00273417" w:rsidRPr="00E9360E" w:rsidRDefault="00273417" w:rsidP="00273417">
      <w:pPr>
        <w:jc w:val="left"/>
        <w:rPr>
          <w:sz w:val="24"/>
          <w:szCs w:val="24"/>
          <w:lang w:val="fi-FI"/>
        </w:rPr>
      </w:pPr>
    </w:p>
    <w:p w:rsidR="006E0C64" w:rsidRDefault="006E0C64" w:rsidP="00273417">
      <w:pPr>
        <w:ind w:left="540" w:hanging="540"/>
        <w:jc w:val="left"/>
        <w:rPr>
          <w:sz w:val="24"/>
          <w:szCs w:val="24"/>
          <w:lang w:val="fi-FI"/>
        </w:rPr>
      </w:pPr>
    </w:p>
    <w:p w:rsidR="006E0C64" w:rsidRDefault="006E0C64" w:rsidP="00273417">
      <w:pPr>
        <w:ind w:left="540" w:hanging="540"/>
        <w:jc w:val="left"/>
        <w:rPr>
          <w:sz w:val="24"/>
          <w:szCs w:val="24"/>
          <w:lang w:val="fi-FI"/>
        </w:rPr>
      </w:pPr>
    </w:p>
    <w:p w:rsidR="006E0C64" w:rsidRDefault="006E0C64" w:rsidP="00273417">
      <w:pPr>
        <w:ind w:left="540" w:hanging="540"/>
        <w:jc w:val="left"/>
        <w:rPr>
          <w:sz w:val="24"/>
          <w:szCs w:val="24"/>
          <w:lang w:val="fi-FI"/>
        </w:rPr>
      </w:pPr>
    </w:p>
    <w:p w:rsidR="006E0C64" w:rsidRDefault="006E0C64" w:rsidP="00273417">
      <w:pPr>
        <w:ind w:left="540" w:hanging="540"/>
        <w:jc w:val="left"/>
        <w:rPr>
          <w:sz w:val="24"/>
          <w:szCs w:val="24"/>
          <w:lang w:val="fi-FI"/>
        </w:rPr>
      </w:pPr>
    </w:p>
    <w:p w:rsidR="00273417" w:rsidRPr="00E9360E" w:rsidRDefault="00273417" w:rsidP="00273417">
      <w:pPr>
        <w:ind w:left="540" w:hanging="540"/>
        <w:jc w:val="left"/>
        <w:rPr>
          <w:sz w:val="24"/>
          <w:szCs w:val="24"/>
          <w:lang w:val="fi-FI"/>
        </w:rPr>
      </w:pPr>
      <w:r w:rsidRPr="00E9360E">
        <w:rPr>
          <w:sz w:val="24"/>
          <w:szCs w:val="24"/>
          <w:lang w:val="fi-FI"/>
        </w:rPr>
        <w:t>3. 2   Lulusan</w:t>
      </w:r>
    </w:p>
    <w:p w:rsidR="00273417" w:rsidRPr="00E9360E" w:rsidRDefault="00273417" w:rsidP="00273417">
      <w:pPr>
        <w:ind w:left="540" w:hanging="540"/>
        <w:jc w:val="left"/>
        <w:rPr>
          <w:sz w:val="24"/>
          <w:szCs w:val="24"/>
          <w:lang w:val="fi-FI"/>
        </w:rPr>
      </w:pPr>
    </w:p>
    <w:p w:rsidR="00273417" w:rsidRPr="00E9360E" w:rsidRDefault="00273417" w:rsidP="00E9360E">
      <w:pPr>
        <w:ind w:left="630" w:hanging="630"/>
        <w:rPr>
          <w:sz w:val="24"/>
          <w:szCs w:val="24"/>
          <w:lang w:val="fi-FI"/>
        </w:rPr>
      </w:pPr>
      <w:r w:rsidRPr="00E9360E">
        <w:rPr>
          <w:sz w:val="24"/>
          <w:szCs w:val="24"/>
          <w:lang w:val="fi-FI"/>
        </w:rPr>
        <w:t xml:space="preserve">3.2.1  Tuliskan rata-rata masa studi dan rata-rata IPK lulusan selama tiga tahun terakhir dari </w:t>
      </w:r>
      <w:r w:rsidRPr="00E9360E">
        <w:rPr>
          <w:b/>
          <w:bCs/>
          <w:sz w:val="24"/>
          <w:szCs w:val="24"/>
          <w:lang w:val="fi-FI"/>
        </w:rPr>
        <w:t>mahasiswa reguler bukan transfer</w:t>
      </w:r>
      <w:r w:rsidRPr="00E9360E">
        <w:rPr>
          <w:sz w:val="24"/>
          <w:szCs w:val="24"/>
          <w:lang w:val="fi-FI"/>
        </w:rPr>
        <w:t xml:space="preserve"> untuk tiap program studi S1 yang dikelola oleh Fakultas/Sekolah Tinggi dengan mengikuti format  tabel berikut:</w:t>
      </w:r>
    </w:p>
    <w:p w:rsidR="00273417" w:rsidRPr="00E9360E" w:rsidRDefault="00273417" w:rsidP="00273417">
      <w:pPr>
        <w:jc w:val="left"/>
        <w:rPr>
          <w:sz w:val="24"/>
          <w:szCs w:val="24"/>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1"/>
        <w:gridCol w:w="3388"/>
        <w:gridCol w:w="2690"/>
        <w:gridCol w:w="2511"/>
      </w:tblGrid>
      <w:tr w:rsidR="00A46681" w:rsidRPr="00E9360E" w:rsidTr="004A128B">
        <w:tc>
          <w:tcPr>
            <w:tcW w:w="559" w:type="dxa"/>
            <w:shd w:val="pct25" w:color="auto" w:fill="auto"/>
            <w:vAlign w:val="center"/>
          </w:tcPr>
          <w:p w:rsidR="00273417" w:rsidRPr="00E9360E" w:rsidRDefault="00273417" w:rsidP="004A128B">
            <w:pPr>
              <w:jc w:val="center"/>
              <w:rPr>
                <w:sz w:val="24"/>
                <w:szCs w:val="24"/>
              </w:rPr>
            </w:pPr>
            <w:r w:rsidRPr="00E9360E">
              <w:rPr>
                <w:sz w:val="24"/>
                <w:szCs w:val="24"/>
              </w:rPr>
              <w:t>No.</w:t>
            </w:r>
          </w:p>
        </w:tc>
        <w:tc>
          <w:tcPr>
            <w:tcW w:w="3401" w:type="dxa"/>
            <w:shd w:val="pct25" w:color="auto" w:fill="auto"/>
            <w:vAlign w:val="center"/>
          </w:tcPr>
          <w:p w:rsidR="00273417" w:rsidRPr="00E9360E" w:rsidRDefault="00273417" w:rsidP="004A128B">
            <w:pPr>
              <w:jc w:val="center"/>
              <w:rPr>
                <w:sz w:val="24"/>
                <w:szCs w:val="24"/>
              </w:rPr>
            </w:pPr>
            <w:r w:rsidRPr="00E9360E">
              <w:rPr>
                <w:sz w:val="24"/>
                <w:szCs w:val="24"/>
              </w:rPr>
              <w:t>Program Studi</w:t>
            </w:r>
          </w:p>
        </w:tc>
        <w:tc>
          <w:tcPr>
            <w:tcW w:w="2700" w:type="dxa"/>
            <w:shd w:val="pct25" w:color="auto" w:fill="auto"/>
            <w:vAlign w:val="center"/>
          </w:tcPr>
          <w:p w:rsidR="00273417" w:rsidRPr="00E9360E" w:rsidRDefault="00273417" w:rsidP="004A128B">
            <w:pPr>
              <w:jc w:val="center"/>
              <w:rPr>
                <w:sz w:val="24"/>
                <w:szCs w:val="24"/>
              </w:rPr>
            </w:pPr>
            <w:r w:rsidRPr="00E9360E">
              <w:rPr>
                <w:sz w:val="24"/>
                <w:szCs w:val="24"/>
                <w:lang w:val="fi-FI"/>
              </w:rPr>
              <w:t>Rata-rata masa studi (tahun)</w:t>
            </w:r>
          </w:p>
        </w:tc>
        <w:tc>
          <w:tcPr>
            <w:tcW w:w="2520" w:type="dxa"/>
            <w:shd w:val="pct25" w:color="auto" w:fill="auto"/>
            <w:vAlign w:val="center"/>
          </w:tcPr>
          <w:p w:rsidR="00273417" w:rsidRPr="00E9360E" w:rsidRDefault="00273417" w:rsidP="004A128B">
            <w:pPr>
              <w:jc w:val="center"/>
              <w:rPr>
                <w:sz w:val="24"/>
                <w:szCs w:val="24"/>
              </w:rPr>
            </w:pPr>
            <w:r w:rsidRPr="00E9360E">
              <w:rPr>
                <w:sz w:val="24"/>
                <w:szCs w:val="24"/>
              </w:rPr>
              <w:t>Rata-rata IPK lulusan</w:t>
            </w:r>
          </w:p>
        </w:tc>
      </w:tr>
      <w:tr w:rsidR="00A46681" w:rsidRPr="00E9360E" w:rsidTr="004A128B">
        <w:tc>
          <w:tcPr>
            <w:tcW w:w="559" w:type="dxa"/>
          </w:tcPr>
          <w:p w:rsidR="00273417" w:rsidRPr="00E9360E" w:rsidRDefault="00273417" w:rsidP="004A128B">
            <w:pPr>
              <w:jc w:val="center"/>
              <w:rPr>
                <w:sz w:val="24"/>
                <w:szCs w:val="24"/>
              </w:rPr>
            </w:pPr>
            <w:r w:rsidRPr="00E9360E">
              <w:rPr>
                <w:sz w:val="24"/>
                <w:szCs w:val="24"/>
              </w:rPr>
              <w:t>(1)</w:t>
            </w:r>
          </w:p>
        </w:tc>
        <w:tc>
          <w:tcPr>
            <w:tcW w:w="3401" w:type="dxa"/>
          </w:tcPr>
          <w:p w:rsidR="00273417" w:rsidRPr="00E9360E" w:rsidRDefault="00273417" w:rsidP="004A128B">
            <w:pPr>
              <w:jc w:val="center"/>
              <w:rPr>
                <w:sz w:val="24"/>
                <w:szCs w:val="24"/>
              </w:rPr>
            </w:pPr>
            <w:r w:rsidRPr="00E9360E">
              <w:rPr>
                <w:sz w:val="24"/>
                <w:szCs w:val="24"/>
              </w:rPr>
              <w:t>(2)</w:t>
            </w:r>
          </w:p>
        </w:tc>
        <w:tc>
          <w:tcPr>
            <w:tcW w:w="2700" w:type="dxa"/>
          </w:tcPr>
          <w:p w:rsidR="00273417" w:rsidRPr="00E9360E" w:rsidRDefault="00273417" w:rsidP="004A128B">
            <w:pPr>
              <w:jc w:val="center"/>
              <w:rPr>
                <w:sz w:val="24"/>
                <w:szCs w:val="24"/>
              </w:rPr>
            </w:pPr>
            <w:r w:rsidRPr="00E9360E">
              <w:rPr>
                <w:sz w:val="24"/>
                <w:szCs w:val="24"/>
              </w:rPr>
              <w:t>(3)</w:t>
            </w:r>
          </w:p>
        </w:tc>
        <w:tc>
          <w:tcPr>
            <w:tcW w:w="2520" w:type="dxa"/>
          </w:tcPr>
          <w:p w:rsidR="00273417" w:rsidRPr="00E9360E" w:rsidRDefault="00273417" w:rsidP="004A128B">
            <w:pPr>
              <w:jc w:val="center"/>
              <w:rPr>
                <w:sz w:val="24"/>
                <w:szCs w:val="24"/>
              </w:rPr>
            </w:pPr>
            <w:r w:rsidRPr="00E9360E">
              <w:rPr>
                <w:sz w:val="24"/>
                <w:szCs w:val="24"/>
              </w:rPr>
              <w:t>(4)</w:t>
            </w:r>
          </w:p>
        </w:tc>
      </w:tr>
      <w:tr w:rsidR="00A46681" w:rsidRPr="00E9360E" w:rsidTr="004A128B">
        <w:tc>
          <w:tcPr>
            <w:tcW w:w="559" w:type="dxa"/>
          </w:tcPr>
          <w:p w:rsidR="00273417" w:rsidRPr="00E9360E" w:rsidRDefault="00273417" w:rsidP="004A128B">
            <w:pPr>
              <w:jc w:val="left"/>
              <w:rPr>
                <w:sz w:val="24"/>
                <w:szCs w:val="24"/>
              </w:rPr>
            </w:pPr>
            <w:r w:rsidRPr="00E9360E">
              <w:rPr>
                <w:sz w:val="24"/>
                <w:szCs w:val="24"/>
              </w:rPr>
              <w:t>1</w:t>
            </w:r>
          </w:p>
        </w:tc>
        <w:tc>
          <w:tcPr>
            <w:tcW w:w="3401" w:type="dxa"/>
          </w:tcPr>
          <w:p w:rsidR="00273417" w:rsidRPr="00E9360E" w:rsidRDefault="00273417" w:rsidP="004A128B">
            <w:pPr>
              <w:jc w:val="left"/>
              <w:rPr>
                <w:sz w:val="24"/>
                <w:szCs w:val="24"/>
              </w:rPr>
            </w:pPr>
            <w:r w:rsidRPr="00E9360E">
              <w:rPr>
                <w:sz w:val="24"/>
                <w:szCs w:val="24"/>
              </w:rPr>
              <w:t>PS 1: …</w:t>
            </w:r>
          </w:p>
        </w:tc>
        <w:tc>
          <w:tcPr>
            <w:tcW w:w="2700" w:type="dxa"/>
          </w:tcPr>
          <w:p w:rsidR="00273417" w:rsidRPr="00E9360E" w:rsidRDefault="00273417" w:rsidP="004A128B">
            <w:pPr>
              <w:jc w:val="left"/>
              <w:rPr>
                <w:sz w:val="24"/>
                <w:szCs w:val="24"/>
              </w:rPr>
            </w:pPr>
          </w:p>
        </w:tc>
        <w:tc>
          <w:tcPr>
            <w:tcW w:w="2520" w:type="dxa"/>
          </w:tcPr>
          <w:p w:rsidR="00273417" w:rsidRPr="00E9360E" w:rsidRDefault="00273417" w:rsidP="004A128B">
            <w:pPr>
              <w:jc w:val="left"/>
              <w:rPr>
                <w:sz w:val="24"/>
                <w:szCs w:val="24"/>
              </w:rPr>
            </w:pPr>
          </w:p>
        </w:tc>
      </w:tr>
      <w:tr w:rsidR="00A46681" w:rsidRPr="00E9360E" w:rsidTr="004A128B">
        <w:tc>
          <w:tcPr>
            <w:tcW w:w="559" w:type="dxa"/>
          </w:tcPr>
          <w:p w:rsidR="00273417" w:rsidRPr="00E9360E" w:rsidRDefault="00273417" w:rsidP="004A128B">
            <w:pPr>
              <w:jc w:val="left"/>
              <w:rPr>
                <w:sz w:val="24"/>
                <w:szCs w:val="24"/>
              </w:rPr>
            </w:pPr>
            <w:r w:rsidRPr="00E9360E">
              <w:rPr>
                <w:sz w:val="24"/>
                <w:szCs w:val="24"/>
              </w:rPr>
              <w:t>2</w:t>
            </w:r>
          </w:p>
        </w:tc>
        <w:tc>
          <w:tcPr>
            <w:tcW w:w="3401" w:type="dxa"/>
          </w:tcPr>
          <w:p w:rsidR="00273417" w:rsidRPr="00E9360E" w:rsidRDefault="00273417" w:rsidP="004A128B">
            <w:pPr>
              <w:jc w:val="left"/>
              <w:rPr>
                <w:sz w:val="24"/>
                <w:szCs w:val="24"/>
              </w:rPr>
            </w:pPr>
            <w:r w:rsidRPr="00E9360E">
              <w:rPr>
                <w:sz w:val="24"/>
                <w:szCs w:val="24"/>
              </w:rPr>
              <w:t>PS 2: …</w:t>
            </w:r>
          </w:p>
        </w:tc>
        <w:tc>
          <w:tcPr>
            <w:tcW w:w="2700" w:type="dxa"/>
          </w:tcPr>
          <w:p w:rsidR="00273417" w:rsidRPr="00E9360E" w:rsidRDefault="00273417" w:rsidP="004A128B">
            <w:pPr>
              <w:jc w:val="left"/>
              <w:rPr>
                <w:sz w:val="24"/>
                <w:szCs w:val="24"/>
              </w:rPr>
            </w:pPr>
          </w:p>
        </w:tc>
        <w:tc>
          <w:tcPr>
            <w:tcW w:w="2520" w:type="dxa"/>
          </w:tcPr>
          <w:p w:rsidR="00273417" w:rsidRPr="00E9360E" w:rsidRDefault="00273417" w:rsidP="004A128B">
            <w:pPr>
              <w:jc w:val="left"/>
              <w:rPr>
                <w:sz w:val="24"/>
                <w:szCs w:val="24"/>
              </w:rPr>
            </w:pPr>
          </w:p>
        </w:tc>
      </w:tr>
      <w:tr w:rsidR="00A46681" w:rsidRPr="00E9360E" w:rsidTr="004A128B">
        <w:tc>
          <w:tcPr>
            <w:tcW w:w="559" w:type="dxa"/>
          </w:tcPr>
          <w:p w:rsidR="00273417" w:rsidRPr="00E9360E" w:rsidRDefault="00273417" w:rsidP="004A128B">
            <w:pPr>
              <w:jc w:val="left"/>
              <w:rPr>
                <w:sz w:val="24"/>
                <w:szCs w:val="24"/>
              </w:rPr>
            </w:pPr>
            <w:r w:rsidRPr="00E9360E">
              <w:rPr>
                <w:sz w:val="24"/>
                <w:szCs w:val="24"/>
              </w:rPr>
              <w:t>…</w:t>
            </w:r>
          </w:p>
        </w:tc>
        <w:tc>
          <w:tcPr>
            <w:tcW w:w="3401" w:type="dxa"/>
          </w:tcPr>
          <w:p w:rsidR="00273417" w:rsidRPr="00E9360E" w:rsidRDefault="00273417" w:rsidP="004A128B">
            <w:pPr>
              <w:jc w:val="left"/>
              <w:rPr>
                <w:sz w:val="24"/>
                <w:szCs w:val="24"/>
              </w:rPr>
            </w:pPr>
            <w:r w:rsidRPr="00E9360E">
              <w:rPr>
                <w:sz w:val="24"/>
                <w:szCs w:val="24"/>
              </w:rPr>
              <w:t>…</w:t>
            </w:r>
          </w:p>
        </w:tc>
        <w:tc>
          <w:tcPr>
            <w:tcW w:w="2700" w:type="dxa"/>
          </w:tcPr>
          <w:p w:rsidR="00273417" w:rsidRPr="00E9360E" w:rsidRDefault="00273417" w:rsidP="004A128B">
            <w:pPr>
              <w:jc w:val="left"/>
              <w:rPr>
                <w:sz w:val="24"/>
                <w:szCs w:val="24"/>
              </w:rPr>
            </w:pPr>
          </w:p>
        </w:tc>
        <w:tc>
          <w:tcPr>
            <w:tcW w:w="2520" w:type="dxa"/>
          </w:tcPr>
          <w:p w:rsidR="00273417" w:rsidRPr="00E9360E" w:rsidRDefault="00273417" w:rsidP="004A128B">
            <w:pPr>
              <w:jc w:val="left"/>
              <w:rPr>
                <w:sz w:val="24"/>
                <w:szCs w:val="24"/>
              </w:rPr>
            </w:pPr>
          </w:p>
        </w:tc>
      </w:tr>
      <w:tr w:rsidR="00A46681" w:rsidRPr="00E9360E" w:rsidTr="004A128B">
        <w:tc>
          <w:tcPr>
            <w:tcW w:w="559" w:type="dxa"/>
          </w:tcPr>
          <w:p w:rsidR="00273417" w:rsidRPr="00E9360E" w:rsidRDefault="00273417" w:rsidP="004A128B">
            <w:pPr>
              <w:jc w:val="left"/>
              <w:rPr>
                <w:sz w:val="24"/>
                <w:szCs w:val="24"/>
              </w:rPr>
            </w:pPr>
          </w:p>
        </w:tc>
        <w:tc>
          <w:tcPr>
            <w:tcW w:w="3401" w:type="dxa"/>
          </w:tcPr>
          <w:p w:rsidR="00273417" w:rsidRPr="00E9360E" w:rsidRDefault="00273417" w:rsidP="004A128B">
            <w:pPr>
              <w:jc w:val="left"/>
              <w:rPr>
                <w:sz w:val="24"/>
                <w:szCs w:val="24"/>
              </w:rPr>
            </w:pPr>
            <w:r w:rsidRPr="00E9360E">
              <w:rPr>
                <w:bCs/>
                <w:sz w:val="24"/>
                <w:szCs w:val="24"/>
                <w:lang w:val="it-IT"/>
              </w:rPr>
              <w:t>Rata-rata di Fakultas</w:t>
            </w:r>
          </w:p>
        </w:tc>
        <w:tc>
          <w:tcPr>
            <w:tcW w:w="2700" w:type="dxa"/>
          </w:tcPr>
          <w:p w:rsidR="00273417" w:rsidRPr="00E9360E" w:rsidRDefault="00273417" w:rsidP="004A128B">
            <w:pPr>
              <w:jc w:val="left"/>
              <w:rPr>
                <w:sz w:val="24"/>
                <w:szCs w:val="24"/>
              </w:rPr>
            </w:pPr>
          </w:p>
        </w:tc>
        <w:tc>
          <w:tcPr>
            <w:tcW w:w="2520" w:type="dxa"/>
          </w:tcPr>
          <w:p w:rsidR="00273417" w:rsidRPr="00E9360E" w:rsidRDefault="00273417" w:rsidP="004A128B">
            <w:pPr>
              <w:jc w:val="left"/>
              <w:rPr>
                <w:sz w:val="24"/>
                <w:szCs w:val="24"/>
              </w:rPr>
            </w:pPr>
          </w:p>
        </w:tc>
      </w:tr>
    </w:tbl>
    <w:p w:rsidR="00273417" w:rsidRPr="00E9360E" w:rsidRDefault="00273417" w:rsidP="00273417">
      <w:pPr>
        <w:jc w:val="left"/>
        <w:rPr>
          <w:sz w:val="24"/>
          <w:szCs w:val="24"/>
        </w:rPr>
      </w:pPr>
    </w:p>
    <w:p w:rsidR="00273417" w:rsidRPr="00E9360E" w:rsidRDefault="00E9360E" w:rsidP="00E9360E">
      <w:pPr>
        <w:ind w:left="720" w:hanging="720"/>
        <w:rPr>
          <w:sz w:val="24"/>
          <w:szCs w:val="24"/>
        </w:rPr>
      </w:pPr>
      <w:r>
        <w:rPr>
          <w:sz w:val="24"/>
          <w:szCs w:val="24"/>
        </w:rPr>
        <w:t xml:space="preserve">3.2.2   </w:t>
      </w:r>
      <w:r w:rsidR="00273417" w:rsidRPr="00E9360E">
        <w:rPr>
          <w:sz w:val="24"/>
          <w:szCs w:val="24"/>
        </w:rPr>
        <w:t>Uraikan pandangan Fakultas/Sekolah Tinggi tentang rara-rata masa studi dan rata-rata IPK lulusan, yang mencakup aspek : kewajaran, upaya pengembangan, dan upaya peningkatan mutu.  Uraikan pula kendala-kendala yang dihadapi.</w:t>
      </w:r>
    </w:p>
    <w:p w:rsidR="00273417" w:rsidRPr="00E9360E" w:rsidRDefault="00273417" w:rsidP="00273417">
      <w:pPr>
        <w:ind w:left="284" w:hanging="284"/>
        <w:jc w:val="left"/>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34"/>
      </w:tblGrid>
      <w:tr w:rsidR="00A46681" w:rsidRPr="00E9360E" w:rsidTr="004A128B">
        <w:tc>
          <w:tcPr>
            <w:tcW w:w="9175" w:type="dxa"/>
            <w:tcBorders>
              <w:top w:val="single" w:sz="4" w:space="0" w:color="auto"/>
              <w:left w:val="single" w:sz="4" w:space="0" w:color="auto"/>
              <w:bottom w:val="single" w:sz="4" w:space="0" w:color="auto"/>
              <w:right w:val="single" w:sz="4" w:space="0" w:color="auto"/>
            </w:tcBorders>
          </w:tcPr>
          <w:p w:rsidR="00273417" w:rsidRPr="00E9360E" w:rsidRDefault="00273417" w:rsidP="004A128B">
            <w:pPr>
              <w:pStyle w:val="Header"/>
              <w:tabs>
                <w:tab w:val="clear" w:pos="4320"/>
                <w:tab w:val="clear" w:pos="8640"/>
              </w:tabs>
              <w:rPr>
                <w:sz w:val="24"/>
                <w:szCs w:val="24"/>
              </w:rPr>
            </w:pPr>
            <w:r w:rsidRPr="00E9360E">
              <w:rPr>
                <w:sz w:val="24"/>
                <w:szCs w:val="24"/>
              </w:rPr>
              <w:tab/>
            </w:r>
          </w:p>
          <w:p w:rsidR="00273417" w:rsidRPr="00E9360E" w:rsidRDefault="00273417" w:rsidP="004A128B">
            <w:pPr>
              <w:pStyle w:val="Header"/>
              <w:tabs>
                <w:tab w:val="clear" w:pos="4320"/>
                <w:tab w:val="clear" w:pos="8640"/>
              </w:tabs>
              <w:rPr>
                <w:sz w:val="24"/>
                <w:szCs w:val="24"/>
              </w:rPr>
            </w:pPr>
          </w:p>
          <w:p w:rsidR="00273417" w:rsidRPr="00E9360E" w:rsidRDefault="00273417" w:rsidP="004A128B">
            <w:pPr>
              <w:pStyle w:val="Header"/>
              <w:tabs>
                <w:tab w:val="clear" w:pos="4320"/>
                <w:tab w:val="clear" w:pos="8640"/>
              </w:tabs>
              <w:rPr>
                <w:sz w:val="24"/>
                <w:szCs w:val="24"/>
              </w:rPr>
            </w:pPr>
          </w:p>
          <w:p w:rsidR="00273417" w:rsidRPr="00E9360E" w:rsidRDefault="00273417" w:rsidP="004A128B">
            <w:pPr>
              <w:pStyle w:val="Header"/>
              <w:tabs>
                <w:tab w:val="clear" w:pos="4320"/>
                <w:tab w:val="clear" w:pos="8640"/>
              </w:tabs>
              <w:rPr>
                <w:sz w:val="24"/>
                <w:szCs w:val="24"/>
              </w:rPr>
            </w:pPr>
          </w:p>
        </w:tc>
      </w:tr>
    </w:tbl>
    <w:p w:rsidR="00184CFC" w:rsidRPr="00A46681" w:rsidRDefault="00184CFC"/>
    <w:sectPr w:rsidR="00184CFC" w:rsidRPr="00A46681" w:rsidSect="009B7CE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B380F"/>
    <w:multiLevelType w:val="multilevel"/>
    <w:tmpl w:val="8AAC4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502CED"/>
    <w:multiLevelType w:val="multilevel"/>
    <w:tmpl w:val="55701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934637C"/>
    <w:multiLevelType w:val="multilevel"/>
    <w:tmpl w:val="BA54D76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64A422BD"/>
    <w:multiLevelType w:val="multilevel"/>
    <w:tmpl w:val="C7E8C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73417"/>
    <w:rsid w:val="00040E06"/>
    <w:rsid w:val="00106137"/>
    <w:rsid w:val="00184CFC"/>
    <w:rsid w:val="001D1D90"/>
    <w:rsid w:val="001D3D2B"/>
    <w:rsid w:val="002025FD"/>
    <w:rsid w:val="00273417"/>
    <w:rsid w:val="00292DC0"/>
    <w:rsid w:val="003357CB"/>
    <w:rsid w:val="00371197"/>
    <w:rsid w:val="004E04B7"/>
    <w:rsid w:val="00517E4A"/>
    <w:rsid w:val="005519FE"/>
    <w:rsid w:val="0058179A"/>
    <w:rsid w:val="005C2A6E"/>
    <w:rsid w:val="006729F9"/>
    <w:rsid w:val="006E0C64"/>
    <w:rsid w:val="007367C3"/>
    <w:rsid w:val="00737197"/>
    <w:rsid w:val="00750B17"/>
    <w:rsid w:val="007B1E50"/>
    <w:rsid w:val="007E5925"/>
    <w:rsid w:val="00831120"/>
    <w:rsid w:val="008C607C"/>
    <w:rsid w:val="00917FB5"/>
    <w:rsid w:val="00952BF1"/>
    <w:rsid w:val="009A4961"/>
    <w:rsid w:val="009B7CE3"/>
    <w:rsid w:val="009F3DFA"/>
    <w:rsid w:val="00A041D1"/>
    <w:rsid w:val="00A376AA"/>
    <w:rsid w:val="00A46681"/>
    <w:rsid w:val="00AE0E48"/>
    <w:rsid w:val="00C53D5D"/>
    <w:rsid w:val="00CD02DF"/>
    <w:rsid w:val="00D31F85"/>
    <w:rsid w:val="00D41C6F"/>
    <w:rsid w:val="00E9360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417"/>
    <w:pPr>
      <w:spacing w:after="0" w:line="240" w:lineRule="auto"/>
      <w:jc w:val="both"/>
    </w:pPr>
    <w:rPr>
      <w:rFonts w:ascii="Arial" w:eastAsia="Times New Roman" w:hAnsi="Arial" w:cs="Times New Roman"/>
      <w:szCs w:val="20"/>
      <w:lang w:val="en-US"/>
    </w:rPr>
  </w:style>
  <w:style w:type="paragraph" w:styleId="Heading1">
    <w:name w:val="heading 1"/>
    <w:basedOn w:val="Normal"/>
    <w:next w:val="Normal"/>
    <w:link w:val="Heading1Char"/>
    <w:qFormat/>
    <w:rsid w:val="00273417"/>
    <w:pPr>
      <w:keepNext/>
      <w:ind w:left="1800" w:hanging="1800"/>
      <w:outlineLvl w:val="0"/>
    </w:pPr>
    <w:rPr>
      <w:rFonts w:ascii="Tahoma" w:hAnsi="Tahoma"/>
      <w:b/>
      <w:sz w:val="24"/>
      <w:szCs w:val="24"/>
      <w:lang w:val="sv-SE"/>
    </w:rPr>
  </w:style>
  <w:style w:type="paragraph" w:styleId="Heading2">
    <w:name w:val="heading 2"/>
    <w:basedOn w:val="Normal"/>
    <w:next w:val="Normal"/>
    <w:link w:val="Heading2Char"/>
    <w:uiPriority w:val="9"/>
    <w:unhideWhenUsed/>
    <w:qFormat/>
    <w:rsid w:val="00C53D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53D5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417"/>
    <w:rPr>
      <w:rFonts w:ascii="Tahoma" w:eastAsia="Times New Roman" w:hAnsi="Tahoma" w:cs="Times New Roman"/>
      <w:b/>
      <w:sz w:val="24"/>
      <w:szCs w:val="24"/>
      <w:lang w:val="sv-SE"/>
    </w:rPr>
  </w:style>
  <w:style w:type="paragraph" w:styleId="Header">
    <w:name w:val="header"/>
    <w:basedOn w:val="Normal"/>
    <w:link w:val="HeaderChar"/>
    <w:rsid w:val="00273417"/>
    <w:pPr>
      <w:tabs>
        <w:tab w:val="center" w:pos="4320"/>
        <w:tab w:val="right" w:pos="8640"/>
      </w:tabs>
    </w:pPr>
  </w:style>
  <w:style w:type="character" w:customStyle="1" w:styleId="HeaderChar">
    <w:name w:val="Header Char"/>
    <w:basedOn w:val="DefaultParagraphFont"/>
    <w:link w:val="Header"/>
    <w:rsid w:val="00273417"/>
    <w:rPr>
      <w:rFonts w:ascii="Arial" w:eastAsia="Times New Roman" w:hAnsi="Arial" w:cs="Times New Roman"/>
      <w:szCs w:val="20"/>
      <w:lang w:val="en-US"/>
    </w:rPr>
  </w:style>
  <w:style w:type="character" w:styleId="Hyperlink">
    <w:name w:val="Hyperlink"/>
    <w:basedOn w:val="DefaultParagraphFont"/>
    <w:unhideWhenUsed/>
    <w:rsid w:val="00C53D5D"/>
    <w:rPr>
      <w:color w:val="0000FF" w:themeColor="hyperlink"/>
      <w:u w:val="single"/>
    </w:rPr>
  </w:style>
  <w:style w:type="paragraph" w:styleId="ListParagraph">
    <w:name w:val="List Paragraph"/>
    <w:basedOn w:val="Normal"/>
    <w:uiPriority w:val="34"/>
    <w:qFormat/>
    <w:rsid w:val="00C53D5D"/>
    <w:pPr>
      <w:spacing w:before="100" w:beforeAutospacing="1" w:after="100" w:afterAutospacing="1"/>
      <w:jc w:val="left"/>
    </w:pPr>
    <w:rPr>
      <w:rFonts w:ascii="Times New Roman" w:hAnsi="Times New Roman"/>
      <w:sz w:val="24"/>
      <w:szCs w:val="24"/>
      <w:lang w:val="id-ID" w:eastAsia="id-ID"/>
    </w:rPr>
  </w:style>
  <w:style w:type="character" w:styleId="Emphasis">
    <w:name w:val="Emphasis"/>
    <w:basedOn w:val="DefaultParagraphFont"/>
    <w:uiPriority w:val="20"/>
    <w:qFormat/>
    <w:rsid w:val="00C53D5D"/>
    <w:rPr>
      <w:i/>
      <w:iCs/>
    </w:rPr>
  </w:style>
  <w:style w:type="character" w:customStyle="1" w:styleId="Heading2Char">
    <w:name w:val="Heading 2 Char"/>
    <w:basedOn w:val="DefaultParagraphFont"/>
    <w:link w:val="Heading2"/>
    <w:uiPriority w:val="9"/>
    <w:rsid w:val="00C53D5D"/>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C53D5D"/>
    <w:rPr>
      <w:rFonts w:asciiTheme="majorHAnsi" w:eastAsiaTheme="majorEastAsia" w:hAnsiTheme="majorHAnsi" w:cstheme="majorBidi"/>
      <w:b/>
      <w:bCs/>
      <w:color w:val="4F81BD" w:themeColor="accent1"/>
      <w:szCs w:val="20"/>
      <w:lang w:val="en-US"/>
    </w:rPr>
  </w:style>
  <w:style w:type="paragraph" w:customStyle="1" w:styleId="default">
    <w:name w:val="default"/>
    <w:basedOn w:val="Normal"/>
    <w:rsid w:val="00C53D5D"/>
    <w:pPr>
      <w:spacing w:before="100" w:beforeAutospacing="1" w:after="100" w:afterAutospacing="1"/>
      <w:jc w:val="left"/>
    </w:pPr>
    <w:rPr>
      <w:rFonts w:ascii="Times New Roman" w:hAnsi="Times New Roman"/>
      <w:sz w:val="24"/>
      <w:szCs w:val="24"/>
      <w:lang w:val="id-ID" w:eastAsia="id-ID"/>
    </w:rPr>
  </w:style>
  <w:style w:type="character" w:styleId="Strong">
    <w:name w:val="Strong"/>
    <w:basedOn w:val="DefaultParagraphFont"/>
    <w:uiPriority w:val="22"/>
    <w:qFormat/>
    <w:rsid w:val="00C53D5D"/>
    <w:rPr>
      <w:b/>
      <w:bCs/>
    </w:rPr>
  </w:style>
  <w:style w:type="paragraph" w:styleId="NormalWeb">
    <w:name w:val="Normal (Web)"/>
    <w:basedOn w:val="Normal"/>
    <w:uiPriority w:val="99"/>
    <w:semiHidden/>
    <w:unhideWhenUsed/>
    <w:rsid w:val="00C53D5D"/>
    <w:pPr>
      <w:spacing w:before="100" w:beforeAutospacing="1" w:after="100" w:afterAutospacing="1"/>
      <w:jc w:val="left"/>
    </w:pPr>
    <w:rPr>
      <w:rFonts w:ascii="Times New Roman" w:hAnsi="Times New Roman"/>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417"/>
    <w:pPr>
      <w:spacing w:after="0" w:line="240" w:lineRule="auto"/>
      <w:jc w:val="both"/>
    </w:pPr>
    <w:rPr>
      <w:rFonts w:ascii="Arial" w:eastAsia="Times New Roman" w:hAnsi="Arial" w:cs="Times New Roman"/>
      <w:szCs w:val="20"/>
      <w:lang w:val="en-US"/>
    </w:rPr>
  </w:style>
  <w:style w:type="paragraph" w:styleId="Heading1">
    <w:name w:val="heading 1"/>
    <w:basedOn w:val="Normal"/>
    <w:next w:val="Normal"/>
    <w:link w:val="Heading1Char"/>
    <w:qFormat/>
    <w:rsid w:val="00273417"/>
    <w:pPr>
      <w:keepNext/>
      <w:ind w:left="1800" w:hanging="1800"/>
      <w:outlineLvl w:val="0"/>
    </w:pPr>
    <w:rPr>
      <w:rFonts w:ascii="Tahoma" w:hAnsi="Tahoma"/>
      <w:b/>
      <w:sz w:val="24"/>
      <w:szCs w:val="24"/>
      <w:lang w:val="sv-SE"/>
    </w:rPr>
  </w:style>
  <w:style w:type="paragraph" w:styleId="Heading2">
    <w:name w:val="heading 2"/>
    <w:basedOn w:val="Normal"/>
    <w:next w:val="Normal"/>
    <w:link w:val="Heading2Char"/>
    <w:uiPriority w:val="9"/>
    <w:unhideWhenUsed/>
    <w:qFormat/>
    <w:rsid w:val="00C53D5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53D5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417"/>
    <w:rPr>
      <w:rFonts w:ascii="Tahoma" w:eastAsia="Times New Roman" w:hAnsi="Tahoma" w:cs="Times New Roman"/>
      <w:b/>
      <w:sz w:val="24"/>
      <w:szCs w:val="24"/>
      <w:lang w:val="sv-SE"/>
    </w:rPr>
  </w:style>
  <w:style w:type="paragraph" w:styleId="Header">
    <w:name w:val="header"/>
    <w:basedOn w:val="Normal"/>
    <w:link w:val="HeaderChar"/>
    <w:rsid w:val="00273417"/>
    <w:pPr>
      <w:tabs>
        <w:tab w:val="center" w:pos="4320"/>
        <w:tab w:val="right" w:pos="8640"/>
      </w:tabs>
    </w:pPr>
  </w:style>
  <w:style w:type="character" w:customStyle="1" w:styleId="HeaderChar">
    <w:name w:val="Header Char"/>
    <w:basedOn w:val="DefaultParagraphFont"/>
    <w:link w:val="Header"/>
    <w:rsid w:val="00273417"/>
    <w:rPr>
      <w:rFonts w:ascii="Arial" w:eastAsia="Times New Roman" w:hAnsi="Arial" w:cs="Times New Roman"/>
      <w:szCs w:val="20"/>
      <w:lang w:val="en-US"/>
    </w:rPr>
  </w:style>
  <w:style w:type="character" w:styleId="Hyperlink">
    <w:name w:val="Hyperlink"/>
    <w:basedOn w:val="DefaultParagraphFont"/>
    <w:unhideWhenUsed/>
    <w:rsid w:val="00C53D5D"/>
    <w:rPr>
      <w:color w:val="0000FF" w:themeColor="hyperlink"/>
      <w:u w:val="single"/>
    </w:rPr>
  </w:style>
  <w:style w:type="paragraph" w:styleId="ListParagraph">
    <w:name w:val="List Paragraph"/>
    <w:basedOn w:val="Normal"/>
    <w:uiPriority w:val="34"/>
    <w:qFormat/>
    <w:rsid w:val="00C53D5D"/>
    <w:pPr>
      <w:spacing w:before="100" w:beforeAutospacing="1" w:after="100" w:afterAutospacing="1"/>
      <w:jc w:val="left"/>
    </w:pPr>
    <w:rPr>
      <w:rFonts w:ascii="Times New Roman" w:hAnsi="Times New Roman"/>
      <w:sz w:val="24"/>
      <w:szCs w:val="24"/>
      <w:lang w:val="id-ID" w:eastAsia="id-ID"/>
    </w:rPr>
  </w:style>
  <w:style w:type="character" w:styleId="Emphasis">
    <w:name w:val="Emphasis"/>
    <w:basedOn w:val="DefaultParagraphFont"/>
    <w:uiPriority w:val="20"/>
    <w:qFormat/>
    <w:rsid w:val="00C53D5D"/>
    <w:rPr>
      <w:i/>
      <w:iCs/>
    </w:rPr>
  </w:style>
  <w:style w:type="character" w:customStyle="1" w:styleId="Heading2Char">
    <w:name w:val="Heading 2 Char"/>
    <w:basedOn w:val="DefaultParagraphFont"/>
    <w:link w:val="Heading2"/>
    <w:uiPriority w:val="9"/>
    <w:rsid w:val="00C53D5D"/>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C53D5D"/>
    <w:rPr>
      <w:rFonts w:asciiTheme="majorHAnsi" w:eastAsiaTheme="majorEastAsia" w:hAnsiTheme="majorHAnsi" w:cstheme="majorBidi"/>
      <w:b/>
      <w:bCs/>
      <w:color w:val="4F81BD" w:themeColor="accent1"/>
      <w:szCs w:val="20"/>
      <w:lang w:val="en-US"/>
    </w:rPr>
  </w:style>
  <w:style w:type="paragraph" w:customStyle="1" w:styleId="default">
    <w:name w:val="default"/>
    <w:basedOn w:val="Normal"/>
    <w:rsid w:val="00C53D5D"/>
    <w:pPr>
      <w:spacing w:before="100" w:beforeAutospacing="1" w:after="100" w:afterAutospacing="1"/>
      <w:jc w:val="left"/>
    </w:pPr>
    <w:rPr>
      <w:rFonts w:ascii="Times New Roman" w:hAnsi="Times New Roman"/>
      <w:sz w:val="24"/>
      <w:szCs w:val="24"/>
      <w:lang w:val="id-ID" w:eastAsia="id-ID"/>
    </w:rPr>
  </w:style>
  <w:style w:type="character" w:styleId="Strong">
    <w:name w:val="Strong"/>
    <w:basedOn w:val="DefaultParagraphFont"/>
    <w:uiPriority w:val="22"/>
    <w:qFormat/>
    <w:rsid w:val="00C53D5D"/>
    <w:rPr>
      <w:b/>
      <w:bCs/>
    </w:rPr>
  </w:style>
  <w:style w:type="paragraph" w:styleId="NormalWeb">
    <w:name w:val="Normal (Web)"/>
    <w:basedOn w:val="Normal"/>
    <w:uiPriority w:val="99"/>
    <w:semiHidden/>
    <w:unhideWhenUsed/>
    <w:rsid w:val="00C53D5D"/>
    <w:pPr>
      <w:spacing w:before="100" w:beforeAutospacing="1" w:after="100" w:afterAutospacing="1"/>
      <w:jc w:val="left"/>
    </w:pPr>
    <w:rPr>
      <w:rFonts w:ascii="Times New Roman" w:hAnsi="Times New Roman"/>
      <w:sz w:val="24"/>
      <w:szCs w:val="24"/>
      <w:lang w:val="id-ID" w:eastAsia="id-ID"/>
    </w:rPr>
  </w:style>
</w:styles>
</file>

<file path=word/webSettings.xml><?xml version="1.0" encoding="utf-8"?>
<w:webSettings xmlns:r="http://schemas.openxmlformats.org/officeDocument/2006/relationships" xmlns:w="http://schemas.openxmlformats.org/wordprocessingml/2006/main">
  <w:divs>
    <w:div w:id="1102454199">
      <w:bodyDiv w:val="1"/>
      <w:marLeft w:val="0"/>
      <w:marRight w:val="0"/>
      <w:marTop w:val="0"/>
      <w:marBottom w:val="0"/>
      <w:divBdr>
        <w:top w:val="none" w:sz="0" w:space="0" w:color="auto"/>
        <w:left w:val="none" w:sz="0" w:space="0" w:color="auto"/>
        <w:bottom w:val="none" w:sz="0" w:space="0" w:color="auto"/>
        <w:right w:val="none" w:sz="0" w:space="0" w:color="auto"/>
      </w:divBdr>
    </w:div>
    <w:div w:id="1424492750">
      <w:bodyDiv w:val="1"/>
      <w:marLeft w:val="0"/>
      <w:marRight w:val="0"/>
      <w:marTop w:val="0"/>
      <w:marBottom w:val="0"/>
      <w:divBdr>
        <w:top w:val="none" w:sz="0" w:space="0" w:color="auto"/>
        <w:left w:val="none" w:sz="0" w:space="0" w:color="auto"/>
        <w:bottom w:val="none" w:sz="0" w:space="0" w:color="auto"/>
        <w:right w:val="none" w:sz="0" w:space="0" w:color="auto"/>
      </w:divBdr>
    </w:div>
    <w:div w:id="1607038229">
      <w:bodyDiv w:val="1"/>
      <w:marLeft w:val="0"/>
      <w:marRight w:val="0"/>
      <w:marTop w:val="0"/>
      <w:marBottom w:val="0"/>
      <w:divBdr>
        <w:top w:val="none" w:sz="0" w:space="0" w:color="auto"/>
        <w:left w:val="none" w:sz="0" w:space="0" w:color="auto"/>
        <w:bottom w:val="none" w:sz="0" w:space="0" w:color="auto"/>
        <w:right w:val="none" w:sz="0" w:space="0" w:color="auto"/>
      </w:divBdr>
    </w:div>
    <w:div w:id="206308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bmptn.ac.id" TargetMode="External"/><Relationship Id="rId3" Type="http://schemas.openxmlformats.org/officeDocument/2006/relationships/settings" Target="settings.xml"/><Relationship Id="rId7" Type="http://schemas.openxmlformats.org/officeDocument/2006/relationships/hyperlink" Target="http://www.smmptnbarat.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endaftaran.sbmptn.ac.id" TargetMode="External"/><Relationship Id="rId11" Type="http://schemas.microsoft.com/office/2007/relationships/stylesWithEffects" Target="stylesWithEffects.xml"/><Relationship Id="rId5" Type="http://schemas.openxmlformats.org/officeDocument/2006/relationships/hyperlink" Target="%20http://pmb.unja.ac.i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6</Pages>
  <Words>1558</Words>
  <Characters>8884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14</cp:revision>
  <dcterms:created xsi:type="dcterms:W3CDTF">2017-05-15T07:14:00Z</dcterms:created>
  <dcterms:modified xsi:type="dcterms:W3CDTF">2017-05-16T08:58:00Z</dcterms:modified>
</cp:coreProperties>
</file>